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68" w:rsidRDefault="00682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2C68" w:rsidRDefault="00682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2C68" w:rsidRDefault="00D92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кциона</w:t>
      </w:r>
    </w:p>
    <w:p w:rsidR="00682C68" w:rsidRDefault="00D92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договоров аренды земельного участка</w:t>
      </w:r>
    </w:p>
    <w:p w:rsidR="00682C68" w:rsidRDefault="00D92CB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Иволгинск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926A61">
        <w:rPr>
          <w:rFonts w:ascii="Times New Roman" w:hAnsi="Times New Roman"/>
          <w:b/>
          <w:sz w:val="24"/>
          <w:szCs w:val="24"/>
          <w:lang w:eastAsia="ru-RU"/>
        </w:rPr>
        <w:t xml:space="preserve">    1</w:t>
      </w:r>
      <w:r w:rsidR="00D70F6F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926A61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D70F6F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926A61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2024 год</w:t>
      </w:r>
    </w:p>
    <w:p w:rsidR="00326FCA" w:rsidRDefault="00D92CB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>
        <w:rPr>
          <w:b/>
          <w:color w:val="181818"/>
        </w:rPr>
        <w:t>Организатор аукциона:</w:t>
      </w:r>
      <w:r>
        <w:rPr>
          <w:color w:val="181818"/>
        </w:rPr>
        <w:t xml:space="preserve"> </w:t>
      </w:r>
      <w:r w:rsidR="00326FCA" w:rsidRPr="00326FCA">
        <w:rPr>
          <w:color w:val="181818"/>
        </w:rPr>
        <w:t>Администрация муниципального образования сельское поселение «Иволгинское» Иволгинского района Республики Бурятия, адрес: 671050, Республика Бурятия, Иволгинский район, с. Иволгинск, ул. Ленина, д. 23,  телефон: 8 (30140), 41-0-67, 41-1-13, e-</w:t>
      </w:r>
      <w:proofErr w:type="spellStart"/>
      <w:r w:rsidR="00326FCA" w:rsidRPr="00326FCA">
        <w:rPr>
          <w:color w:val="181818"/>
        </w:rPr>
        <w:t>mail</w:t>
      </w:r>
      <w:proofErr w:type="spellEnd"/>
      <w:r w:rsidR="00326FCA" w:rsidRPr="00326FCA">
        <w:rPr>
          <w:color w:val="181818"/>
        </w:rPr>
        <w:t xml:space="preserve">: </w:t>
      </w:r>
      <w:hyperlink r:id="rId9" w:history="1">
        <w:r w:rsidR="00326FCA" w:rsidRPr="00555C96">
          <w:rPr>
            <w:rStyle w:val="a4"/>
          </w:rPr>
          <w:t>admivolginskoe@mail.ru</w:t>
        </w:r>
      </w:hyperlink>
    </w:p>
    <w:p w:rsidR="00682C68" w:rsidRDefault="00D92CB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>
        <w:rPr>
          <w:b/>
          <w:color w:val="181818"/>
        </w:rPr>
        <w:t>Контактное лицо:</w:t>
      </w:r>
      <w:r>
        <w:rPr>
          <w:color w:val="181818"/>
        </w:rPr>
        <w:t xml:space="preserve"> </w:t>
      </w:r>
      <w:r w:rsidR="00326FCA">
        <w:rPr>
          <w:color w:val="181818"/>
        </w:rPr>
        <w:t>Соктоева Татьяна Викторовна</w:t>
      </w:r>
      <w:r>
        <w:rPr>
          <w:color w:val="181818"/>
        </w:rPr>
        <w:t>, тел.: 8 (30140) 41-</w:t>
      </w:r>
      <w:r w:rsidR="00326FCA">
        <w:rPr>
          <w:color w:val="181818"/>
        </w:rPr>
        <w:t>0-67, 41-1-13</w:t>
      </w:r>
      <w:r>
        <w:rPr>
          <w:color w:val="181818"/>
        </w:rPr>
        <w:t>.</w:t>
      </w:r>
    </w:p>
    <w:p w:rsidR="00682C68" w:rsidRDefault="00D92CBA">
      <w:pPr>
        <w:tabs>
          <w:tab w:val="left" w:pos="0"/>
          <w:tab w:val="left" w:pos="1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электронного аукциона: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РТС-тендер» сайт https://www.rts-tender.ru/</w:t>
      </w:r>
    </w:p>
    <w:p w:rsidR="00682C68" w:rsidRDefault="00D92CBA">
      <w:pPr>
        <w:tabs>
          <w:tab w:val="left" w:pos="0"/>
          <w:tab w:val="left" w:pos="1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 и время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831"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="0077423B" w:rsidRPr="0077423B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926A61">
        <w:rPr>
          <w:rFonts w:ascii="Times New Roman" w:eastAsia="Times New Roman" w:hAnsi="Times New Roman"/>
          <w:sz w:val="24"/>
          <w:szCs w:val="24"/>
          <w:lang w:eastAsia="ru-RU"/>
        </w:rPr>
        <w:t>.2024 г. в 10:00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по местному времени,</w:t>
      </w:r>
    </w:p>
    <w:p w:rsidR="00682C68" w:rsidRDefault="00D92CB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Аукцион проводится на основании постановления администрации муниципального образования </w:t>
      </w:r>
      <w:r w:rsidR="00326FCA">
        <w:rPr>
          <w:rFonts w:ascii="Times New Roman" w:hAnsi="Times New Roman"/>
          <w:color w:val="181818"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color w:val="181818"/>
          <w:sz w:val="24"/>
          <w:szCs w:val="24"/>
        </w:rPr>
        <w:t>«Иволгинск</w:t>
      </w:r>
      <w:r w:rsidR="00326FCA">
        <w:rPr>
          <w:rFonts w:ascii="Times New Roman" w:hAnsi="Times New Roman"/>
          <w:color w:val="181818"/>
          <w:sz w:val="24"/>
          <w:szCs w:val="24"/>
        </w:rPr>
        <w:t>ое</w:t>
      </w:r>
      <w:r>
        <w:rPr>
          <w:rFonts w:ascii="Times New Roman" w:hAnsi="Times New Roman"/>
          <w:color w:val="181818"/>
          <w:sz w:val="24"/>
          <w:szCs w:val="24"/>
        </w:rPr>
        <w:t>» «О проведен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>кциона на право заключения договор</w:t>
      </w:r>
      <w:r w:rsidR="008F75A5">
        <w:rPr>
          <w:rFonts w:ascii="Times New Roman" w:hAnsi="Times New Roman"/>
          <w:color w:val="181818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 xml:space="preserve"> аренды земельного участка, </w:t>
      </w:r>
      <w:r w:rsidR="00326FCA">
        <w:rPr>
          <w:rFonts w:ascii="Times New Roman" w:hAnsi="Times New Roman"/>
          <w:color w:val="181818"/>
          <w:sz w:val="24"/>
          <w:szCs w:val="24"/>
        </w:rPr>
        <w:t xml:space="preserve">находящегося в муниципальной </w:t>
      </w:r>
      <w:r>
        <w:rPr>
          <w:rFonts w:ascii="Times New Roman" w:hAnsi="Times New Roman"/>
          <w:color w:val="181818"/>
          <w:sz w:val="24"/>
          <w:szCs w:val="24"/>
        </w:rPr>
        <w:t>собственност</w:t>
      </w:r>
      <w:r w:rsidR="00326FCA">
        <w:rPr>
          <w:rFonts w:ascii="Times New Roman" w:hAnsi="Times New Roman"/>
          <w:color w:val="181818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».</w:t>
      </w:r>
    </w:p>
    <w:p w:rsidR="00682C68" w:rsidRDefault="00D92CB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Предмет аукциона</w:t>
      </w:r>
      <w:r>
        <w:rPr>
          <w:rFonts w:ascii="Times New Roman" w:hAnsi="Times New Roman"/>
          <w:color w:val="181818"/>
          <w:sz w:val="24"/>
          <w:szCs w:val="24"/>
        </w:rPr>
        <w:t xml:space="preserve">: </w:t>
      </w:r>
      <w:r w:rsidR="00FB7BC1" w:rsidRPr="00FB7BC1">
        <w:rPr>
          <w:rFonts w:ascii="Times New Roman" w:hAnsi="Times New Roman"/>
          <w:color w:val="181818"/>
          <w:sz w:val="24"/>
          <w:szCs w:val="24"/>
        </w:rPr>
        <w:t>право заключения договора аренды земельного участка, находящегося в муниципальной собственности</w:t>
      </w:r>
      <w:r w:rsidR="00FB7BC1">
        <w:rPr>
          <w:rFonts w:ascii="Times New Roman" w:hAnsi="Times New Roman"/>
          <w:color w:val="181818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2C68" w:rsidRDefault="00D92CB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Организатор аукционов осуществляет функции, непосредственно связанные с организацией и проведением аукционов по аренде земельных участков. Договор аренды земельного участка подписывается Уполномоченным органом (заказчиком).</w:t>
      </w:r>
    </w:p>
    <w:p w:rsidR="00682C68" w:rsidRDefault="00D92CBA" w:rsidP="00370314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аукционы являются открытыми по составу участников и проводятся в соответствии с требованиями Земельного кодекса Российской Федерации (далее по тексту – Кодекс).</w:t>
      </w:r>
    </w:p>
    <w:p w:rsidR="00682C68" w:rsidRDefault="00D92CBA">
      <w:pPr>
        <w:pStyle w:val="ae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b/>
          <w:color w:val="222222"/>
          <w:u w:val="single"/>
        </w:rPr>
      </w:pPr>
      <w:r>
        <w:rPr>
          <w:b/>
          <w:color w:val="222222"/>
          <w:u w:val="single"/>
        </w:rPr>
        <w:t xml:space="preserve">Лот № </w:t>
      </w:r>
      <w:r w:rsidR="00326FCA">
        <w:rPr>
          <w:b/>
          <w:color w:val="222222"/>
          <w:u w:val="single"/>
        </w:rPr>
        <w:t>1</w:t>
      </w:r>
      <w:r>
        <w:rPr>
          <w:b/>
          <w:color w:val="222222"/>
          <w:u w:val="single"/>
        </w:rPr>
        <w:t>:</w:t>
      </w:r>
    </w:p>
    <w:p w:rsidR="003D0FC5" w:rsidRDefault="003D0FC5" w:rsidP="003D0FC5">
      <w:pPr>
        <w:spacing w:after="0" w:line="240" w:lineRule="auto"/>
        <w:ind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площадью – </w:t>
      </w:r>
      <w:r w:rsidR="0077423B" w:rsidRPr="0077423B">
        <w:rPr>
          <w:rFonts w:ascii="Times New Roman" w:hAnsi="Times New Roman"/>
          <w:color w:val="222222"/>
          <w:sz w:val="24"/>
          <w:szCs w:val="24"/>
        </w:rPr>
        <w:t>4</w:t>
      </w:r>
      <w:r w:rsidR="0077423B">
        <w:rPr>
          <w:rFonts w:ascii="Times New Roman" w:hAnsi="Times New Roman"/>
          <w:color w:val="222222"/>
          <w:sz w:val="24"/>
          <w:szCs w:val="24"/>
        </w:rPr>
        <w:t xml:space="preserve">00 +/- </w:t>
      </w:r>
      <w:r w:rsidR="0077423B" w:rsidRPr="0077423B">
        <w:rPr>
          <w:rFonts w:ascii="Times New Roman" w:hAnsi="Times New Roman"/>
          <w:color w:val="222222"/>
          <w:sz w:val="24"/>
          <w:szCs w:val="24"/>
        </w:rPr>
        <w:t>7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.;</w:t>
      </w:r>
    </w:p>
    <w:p w:rsidR="003D0FC5" w:rsidRDefault="003D0FC5" w:rsidP="0077423B">
      <w:pPr>
        <w:spacing w:after="0" w:line="240" w:lineRule="auto"/>
        <w:ind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категория земель – </w:t>
      </w:r>
      <w:r w:rsidR="0077423B" w:rsidRPr="0077423B">
        <w:rPr>
          <w:rFonts w:ascii="Times New Roman" w:hAnsi="Times New Roman"/>
          <w:color w:val="222222"/>
          <w:sz w:val="24"/>
          <w:szCs w:val="24"/>
        </w:rPr>
        <w:t>земли населенных пунктов</w:t>
      </w:r>
      <w:r>
        <w:rPr>
          <w:rFonts w:ascii="Times New Roman" w:hAnsi="Times New Roman"/>
          <w:color w:val="222222"/>
          <w:sz w:val="24"/>
          <w:szCs w:val="24"/>
        </w:rPr>
        <w:t>;</w:t>
      </w:r>
    </w:p>
    <w:p w:rsidR="003D0FC5" w:rsidRDefault="003D0FC5" w:rsidP="003D0FC5">
      <w:pPr>
        <w:spacing w:after="0" w:line="240" w:lineRule="auto"/>
        <w:ind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кадастровый номер земел</w:t>
      </w:r>
      <w:r w:rsidR="0077423B">
        <w:rPr>
          <w:rFonts w:ascii="Times New Roman" w:hAnsi="Times New Roman"/>
          <w:color w:val="222222"/>
          <w:sz w:val="24"/>
          <w:szCs w:val="24"/>
        </w:rPr>
        <w:t>ьного участка – 03:08:</w:t>
      </w:r>
      <w:r w:rsidR="0077423B">
        <w:rPr>
          <w:rFonts w:ascii="Times New Roman" w:hAnsi="Times New Roman"/>
          <w:color w:val="222222"/>
          <w:sz w:val="24"/>
          <w:szCs w:val="24"/>
          <w:lang w:val="en-US"/>
        </w:rPr>
        <w:t>080245</w:t>
      </w:r>
      <w:r w:rsidR="0077423B">
        <w:rPr>
          <w:rFonts w:ascii="Times New Roman" w:hAnsi="Times New Roman"/>
          <w:color w:val="222222"/>
          <w:sz w:val="24"/>
          <w:szCs w:val="24"/>
        </w:rPr>
        <w:t>:</w:t>
      </w:r>
      <w:r w:rsidR="0077423B">
        <w:rPr>
          <w:rFonts w:ascii="Times New Roman" w:hAnsi="Times New Roman"/>
          <w:color w:val="222222"/>
          <w:sz w:val="24"/>
          <w:szCs w:val="24"/>
          <w:lang w:val="en-US"/>
        </w:rPr>
        <w:t>270</w:t>
      </w:r>
      <w:r>
        <w:rPr>
          <w:rFonts w:ascii="Times New Roman" w:hAnsi="Times New Roman"/>
          <w:color w:val="222222"/>
          <w:sz w:val="24"/>
          <w:szCs w:val="24"/>
        </w:rPr>
        <w:t>;</w:t>
      </w:r>
    </w:p>
    <w:p w:rsidR="003D0FC5" w:rsidRDefault="003D0FC5" w:rsidP="003D0FC5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местоположение: </w:t>
      </w:r>
      <w:r w:rsidRPr="00FB7BC1">
        <w:rPr>
          <w:rFonts w:ascii="Times New Roman" w:hAnsi="Times New Roman"/>
          <w:color w:val="222222"/>
          <w:sz w:val="24"/>
          <w:szCs w:val="24"/>
        </w:rPr>
        <w:t>Российская Федерация, Республика Бурятия, муниципальный район Иволгинский, сельское поселение Иволгинское, с. Иволгинск</w:t>
      </w:r>
      <w:r>
        <w:rPr>
          <w:rFonts w:ascii="Times New Roman" w:hAnsi="Times New Roman"/>
          <w:color w:val="222222"/>
          <w:sz w:val="24"/>
          <w:szCs w:val="24"/>
        </w:rPr>
        <w:t>;</w:t>
      </w:r>
    </w:p>
    <w:p w:rsidR="003D0FC5" w:rsidRDefault="003D0FC5" w:rsidP="003D0FC5">
      <w:pPr>
        <w:spacing w:after="0" w:line="240" w:lineRule="auto"/>
        <w:ind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вид разрешенного использования – </w:t>
      </w:r>
      <w:r w:rsidR="0077423B">
        <w:rPr>
          <w:rFonts w:ascii="Times New Roman" w:hAnsi="Times New Roman"/>
          <w:color w:val="222222"/>
          <w:sz w:val="24"/>
          <w:szCs w:val="24"/>
        </w:rPr>
        <w:t>магазины</w:t>
      </w:r>
      <w:r>
        <w:rPr>
          <w:rFonts w:ascii="Times New Roman" w:hAnsi="Times New Roman"/>
          <w:color w:val="222222"/>
          <w:sz w:val="24"/>
          <w:szCs w:val="24"/>
        </w:rPr>
        <w:t>;</w:t>
      </w:r>
    </w:p>
    <w:p w:rsidR="003D0FC5" w:rsidRDefault="003D0FC5" w:rsidP="003D0FC5">
      <w:pPr>
        <w:spacing w:after="0" w:line="240" w:lineRule="auto"/>
        <w:ind w:left="709" w:hanging="142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</w:t>
      </w:r>
      <w:r w:rsidR="0077423B">
        <w:rPr>
          <w:rFonts w:ascii="Times New Roman" w:hAnsi="Times New Roman"/>
          <w:color w:val="222222"/>
          <w:sz w:val="24"/>
          <w:szCs w:val="24"/>
        </w:rPr>
        <w:t>рыночная стоимость годовой арендной платы земельного участка – 65720,00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FB7BC1">
        <w:rPr>
          <w:rFonts w:ascii="Times New Roman" w:hAnsi="Times New Roman"/>
          <w:color w:val="222222"/>
          <w:sz w:val="24"/>
          <w:szCs w:val="24"/>
        </w:rPr>
        <w:t>(</w:t>
      </w:r>
      <w:r w:rsidR="0077423B">
        <w:rPr>
          <w:rFonts w:ascii="Times New Roman" w:hAnsi="Times New Roman"/>
          <w:color w:val="222222"/>
          <w:sz w:val="24"/>
          <w:szCs w:val="24"/>
        </w:rPr>
        <w:t>шестьдесят пять</w:t>
      </w:r>
      <w:r w:rsidRPr="00FB7BC1">
        <w:rPr>
          <w:rFonts w:ascii="Times New Roman" w:hAnsi="Times New Roman"/>
          <w:color w:val="222222"/>
          <w:sz w:val="24"/>
          <w:szCs w:val="24"/>
        </w:rPr>
        <w:t xml:space="preserve"> тысяч </w:t>
      </w:r>
      <w:r w:rsidR="0077423B">
        <w:rPr>
          <w:rFonts w:ascii="Times New Roman" w:hAnsi="Times New Roman"/>
          <w:color w:val="222222"/>
          <w:sz w:val="24"/>
          <w:szCs w:val="24"/>
        </w:rPr>
        <w:t>семьсот двадцать)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04ECE">
        <w:rPr>
          <w:rFonts w:ascii="Times New Roman" w:hAnsi="Times New Roman"/>
          <w:color w:val="222222"/>
          <w:sz w:val="24"/>
          <w:szCs w:val="24"/>
        </w:rPr>
        <w:t>рубл</w:t>
      </w:r>
      <w:r w:rsidR="0077423B">
        <w:rPr>
          <w:rFonts w:ascii="Times New Roman" w:hAnsi="Times New Roman"/>
          <w:color w:val="222222"/>
          <w:sz w:val="24"/>
          <w:szCs w:val="24"/>
        </w:rPr>
        <w:t>ей</w:t>
      </w:r>
      <w:r w:rsidRPr="00FB7BC1">
        <w:rPr>
          <w:rFonts w:ascii="Times New Roman" w:hAnsi="Times New Roman"/>
          <w:color w:val="222222"/>
          <w:sz w:val="24"/>
          <w:szCs w:val="24"/>
        </w:rPr>
        <w:t>.</w:t>
      </w:r>
    </w:p>
    <w:p w:rsidR="003D0FC5" w:rsidRDefault="003D0FC5" w:rsidP="003D0FC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 размер задатка (20% от начальной цены), руб. – </w:t>
      </w:r>
      <w:r w:rsidR="0077423B">
        <w:rPr>
          <w:rFonts w:ascii="Times New Roman" w:hAnsi="Times New Roman"/>
          <w:b w:val="0"/>
          <w:sz w:val="24"/>
          <w:szCs w:val="24"/>
        </w:rPr>
        <w:t>13144,00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3D0FC5" w:rsidRDefault="003D0FC5" w:rsidP="003D0FC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величина повышения цены участка «шаг аукциона», руб. – </w:t>
      </w:r>
      <w:r w:rsidR="008F75A5">
        <w:rPr>
          <w:rFonts w:ascii="Times New Roman" w:hAnsi="Times New Roman"/>
          <w:b w:val="0"/>
          <w:sz w:val="24"/>
          <w:szCs w:val="24"/>
        </w:rPr>
        <w:t>1971,60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3D0FC5" w:rsidRDefault="003D0FC5" w:rsidP="003D0FC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срок аренды, год – 10. </w:t>
      </w:r>
    </w:p>
    <w:p w:rsidR="003D0FC5" w:rsidRPr="003D0FC5" w:rsidRDefault="003D0FC5" w:rsidP="003D0FC5">
      <w:pPr>
        <w:pStyle w:val="FR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Ограничения (обременения) прав на земельный участок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  <w:r w:rsidRPr="003D0FC5">
        <w:rPr>
          <w:rFonts w:ascii="Times New Roman" w:hAnsi="Times New Roman"/>
          <w:b w:val="0"/>
          <w:sz w:val="24"/>
          <w:szCs w:val="24"/>
        </w:rPr>
        <w:t xml:space="preserve">земельный участок полностью расположен в границах охранной зоны стационарных пунктов наблюдений за состоянием окружающей среды на территории Республики Бурятия с реестровым номером 03:08-6.985; земельный участок полностью расположен в границах охранной зоны транспорта с реестровыми номерами: 03:08-6.182, 03:08-6.183, 03:08-6.185, 03:08-6.187 – ограничен в использовании земельного участка в пределах данных зон. </w:t>
      </w:r>
      <w:proofErr w:type="gramEnd"/>
    </w:p>
    <w:p w:rsidR="00B04ECE" w:rsidRDefault="003D0FC5" w:rsidP="00B04EC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0FC5">
        <w:rPr>
          <w:rFonts w:ascii="Times New Roman" w:hAnsi="Times New Roman"/>
          <w:b w:val="0"/>
          <w:sz w:val="24"/>
          <w:szCs w:val="24"/>
        </w:rPr>
        <w:t>Сведения о том, что земельный участок полностью расположен в границах территории объекта культурного наследия, публичного сервитута: данные по сведениям ЕРГН отсутствуют.</w:t>
      </w:r>
    </w:p>
    <w:p w:rsidR="00682C68" w:rsidRPr="00B04ECE" w:rsidRDefault="00D92CBA" w:rsidP="00B04EC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0FC5">
        <w:rPr>
          <w:rFonts w:ascii="Times New Roman" w:hAnsi="Times New Roman"/>
          <w:sz w:val="36"/>
          <w:szCs w:val="36"/>
        </w:rPr>
        <w:t>___________________________________________________</w:t>
      </w:r>
      <w:r w:rsidR="003D0FC5">
        <w:rPr>
          <w:rFonts w:ascii="Times New Roman" w:hAnsi="Times New Roman"/>
          <w:sz w:val="36"/>
          <w:szCs w:val="36"/>
        </w:rPr>
        <w:t>_________________________</w:t>
      </w:r>
    </w:p>
    <w:p w:rsidR="00A66DDE" w:rsidRDefault="00A66DDE" w:rsidP="00A66D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Максимально и (или) минимально допустимые параметры разрешенного строительства объектов капитального строительства устанавливаются согласно Правилам землепользования и застройки соответствующего муниципального образования, в котором расположен земельный участок (</w:t>
      </w:r>
      <w:hyperlink r:id="rId10" w:history="1">
        <w:r w:rsidRPr="00B76B74">
          <w:rPr>
            <w:rStyle w:val="a4"/>
            <w:rFonts w:ascii="Times New Roman" w:eastAsia="Times New Roman" w:hAnsi="Times New Roman"/>
            <w:snapToGrid w:val="0"/>
            <w:sz w:val="24"/>
            <w:szCs w:val="24"/>
            <w:lang w:eastAsia="ru-RU"/>
          </w:rPr>
          <w:t>http://admivl.ru/gradostroitelnaya-deyatelnost/generalnye-plany-selskix-poselenij/</w:t>
        </w:r>
      </w:hyperlink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).</w:t>
      </w:r>
    </w:p>
    <w:p w:rsidR="00A66DDE" w:rsidRPr="00A66DDE" w:rsidRDefault="00A66DDE" w:rsidP="00A66DD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технических условий:</w:t>
      </w:r>
    </w:p>
    <w:p w:rsidR="00A66DDE" w:rsidRPr="00A66DDE" w:rsidRDefault="00A66DDE" w:rsidP="00A66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К электрическим сетям Иволгинский РЭС - Структурное подразделение филиала ОАО «МРСК СИБИРИ» - «БУРЯТЭНЕРГО»: подключение возможно при строительстве воздушной линии 0,4 </w:t>
      </w:r>
      <w:proofErr w:type="spellStart"/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кВ.</w:t>
      </w:r>
      <w:proofErr w:type="spellEnd"/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При обращении в установленном порядке в сетевую организацию, плата за технологическое присоединение будет определена по тарифам, установленным РСТ РБ на момент заключения договора, срок действия технических условий определен Постановлением Правительства РФ от 27.12.2004 г. №861 и не может составлять менее</w:t>
      </w:r>
      <w:proofErr w:type="gramEnd"/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 лет;</w:t>
      </w:r>
    </w:p>
    <w:p w:rsidR="00A66DDE" w:rsidRPr="00A66DDE" w:rsidRDefault="00A66DDE" w:rsidP="00A66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К сетям водопровод</w:t>
      </w:r>
      <w:proofErr w:type="gramStart"/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 ООО</w:t>
      </w:r>
      <w:proofErr w:type="gramEnd"/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«Спектр»: техническая возможность подключения к сетям водоснабжения отсутствует. В связи с чем, необходимо предусмотреть автономное водоснабжение и водоотведение. </w:t>
      </w:r>
    </w:p>
    <w:p w:rsidR="00A66DDE" w:rsidRPr="00A66DDE" w:rsidRDefault="00A66DDE" w:rsidP="00A66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К тепловым сетям МУП ЖКХ «Тепловик»: ввиду отдаленности тепловых сетей и источника теплоснабжения: теплоснабжение возможно по системе децентрализованного теплоснабжения.</w:t>
      </w:r>
    </w:p>
    <w:p w:rsidR="00A66DDE" w:rsidRPr="00A66DDE" w:rsidRDefault="00A66DDE" w:rsidP="00A66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Плата за подключение (технологическое присоединение) на дату опубликования извещения:</w:t>
      </w:r>
    </w:p>
    <w:p w:rsidR="00A66DDE" w:rsidRDefault="00A66DDE" w:rsidP="00A66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плата за технологическое присоединение к электрическим сетям будет определена по тарифам, установленным РСТ РБ на момент заключения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A66D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договора.</w:t>
      </w:r>
    </w:p>
    <w:p w:rsidR="00682C68" w:rsidRPr="006D5A59" w:rsidRDefault="00D92CBA" w:rsidP="00A66DDE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  <w:r w:rsidRPr="006D5A59">
        <w:rPr>
          <w:rFonts w:ascii="Times New Roman" w:hAnsi="Times New Roman"/>
          <w:b/>
          <w:sz w:val="36"/>
          <w:szCs w:val="36"/>
          <w:lang w:eastAsia="ru-RU"/>
        </w:rPr>
        <w:t>_______________________________________________________</w:t>
      </w:r>
      <w:r w:rsidR="006D5A59">
        <w:rPr>
          <w:rFonts w:ascii="Times New Roman" w:hAnsi="Times New Roman"/>
          <w:b/>
          <w:sz w:val="36"/>
          <w:szCs w:val="36"/>
          <w:lang w:eastAsia="ru-RU"/>
        </w:rPr>
        <w:t>_________________________</w:t>
      </w:r>
    </w:p>
    <w:p w:rsidR="00682C68" w:rsidRDefault="00D92CB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Реквизиты счета для перечисления задатка: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на счет Электронной площадки (Общество с ограниченной ответственностью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РТС-тендер»)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Получатель: ООО «РТС-тендер»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Совкомбанк</w:t>
      </w:r>
      <w:proofErr w:type="spellEnd"/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»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Расчетный счёт: 40702810512030016362 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Корр. Счёт: 30101810445250000360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БИК: 044525360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ИНН: 7710357167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КПП: 773001001</w:t>
      </w:r>
    </w:p>
    <w:p w:rsidR="00682C68" w:rsidRDefault="00D92C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Назначение платежа: Внесение гарантийного обеспечения по Соглашению о внесении гарантийного</w:t>
      </w:r>
      <w:r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br/>
        <w:t>обеспечения, № аналитического счета _________, без НДС.</w:t>
      </w:r>
    </w:p>
    <w:p w:rsidR="00682C68" w:rsidRDefault="00D92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лицевого счета присваивается автоматически при прохождении регистрации на Электронной торговой площадке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РТС-тендер», и отображается в личном кабинете участника торгов.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 возврата задатка по Лоту: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заявителем отдельным платежным поручением по каждому лоту с даты размещения в официальном печатном издании (газета «</w:t>
      </w:r>
      <w:r w:rsidR="00C86A5B">
        <w:rPr>
          <w:rFonts w:ascii="Times New Roman" w:eastAsia="Times New Roman" w:hAnsi="Times New Roman"/>
          <w:sz w:val="24"/>
          <w:szCs w:val="24"/>
          <w:lang w:eastAsia="ru-RU"/>
        </w:rPr>
        <w:t>Жизнь Иволги</w:t>
      </w: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»), на сайте Российской Федерации в информационно-телекоммуникационной сети "Интернет" для размещения информации о проведении аукциона, определенном Правительством Российской Федерации (далее – официальный сайт) извещения о проведении аукциона до даты окончания срока подачи заявок на участие в аукционе.</w:t>
      </w:r>
      <w:proofErr w:type="gramEnd"/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нарушения заявителем настоящего порядка внесения задатка при его перечислении на счет организатора аукциона, перечисленная сумма не считается задатком и возвращается заявителю.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Возврат задатка производится Организатором аукциона по реквизитам, указанным в заявке на участие в аукционе или реквизитам платежного документа о поступлении задатка в течение 3 рабочих дней: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с даты оформления</w:t>
      </w:r>
      <w:proofErr w:type="gramEnd"/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приема и рассмотрения заявок – заявителям, не допущенным к участию в аукционе;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- со дня подписания протокола о результатах аукциона – лицам, участвовавшим в аукционе, но не победившим в нем;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 xml:space="preserve">- со дня поступления письменного уведомления об отзыве заявки – в случае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В случае отмены аукциона задаток возвращается в течение трех дней со дня принятия решения об отмене аукциона</w:t>
      </w:r>
    </w:p>
    <w:p w:rsidR="00A66DDE" w:rsidRPr="00A66DDE" w:rsidRDefault="00A66DDE" w:rsidP="00A66D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DE">
        <w:rPr>
          <w:rFonts w:ascii="Times New Roman" w:eastAsia="Times New Roman" w:hAnsi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Кодекса, засчитываются в счет арендной платы за него. Задатки, внесенные этими лицами, не заключившими в установленном статьей 39.12 Кодекса порядке договора аренды земельного участка вследствие уклонения от заключения указанных договоров, не возвращаются.</w:t>
      </w:r>
    </w:p>
    <w:p w:rsidR="00682C68" w:rsidRDefault="00D92CB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 производится лицами, желающими участвовать в электронном аукционе, самостоятельно. Информация о расположении земельного участка предоставляется Организатором аукциона.</w:t>
      </w:r>
    </w:p>
    <w:p w:rsidR="00682C68" w:rsidRDefault="00D92CBA">
      <w:pPr>
        <w:tabs>
          <w:tab w:val="left" w:pos="0"/>
          <w:tab w:val="left" w:pos="1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 места приема заявок на участие в электронном аукционе: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направляется Оператору электронной площадки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РТС-тендер» (далее – Оператор электронной площадки) сайт https://www.rts-tender.ru/.</w:t>
      </w:r>
    </w:p>
    <w:p w:rsidR="00682C68" w:rsidRDefault="00D92CB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начала и окончания приема заявок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8F75A5">
        <w:rPr>
          <w:rFonts w:ascii="Times New Roman" w:eastAsia="Times New Roman" w:hAnsi="Times New Roman"/>
          <w:sz w:val="24"/>
          <w:szCs w:val="24"/>
          <w:lang w:eastAsia="ru-RU"/>
        </w:rPr>
        <w:t>с 08</w:t>
      </w:r>
      <w:r w:rsidRPr="00C86A5B">
        <w:rPr>
          <w:rFonts w:ascii="Times New Roman" w:eastAsia="Times New Roman" w:hAnsi="Times New Roman"/>
          <w:sz w:val="24"/>
          <w:szCs w:val="24"/>
          <w:lang w:eastAsia="ru-RU"/>
        </w:rPr>
        <w:t xml:space="preserve">:00 часов по местному времени </w:t>
      </w:r>
      <w:r w:rsidR="00C86A5B" w:rsidRPr="00C86A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F75A5">
        <w:rPr>
          <w:rFonts w:ascii="Times New Roman" w:eastAsia="Times New Roman" w:hAnsi="Times New Roman"/>
          <w:sz w:val="24"/>
          <w:szCs w:val="24"/>
          <w:lang w:eastAsia="ru-RU"/>
        </w:rPr>
        <w:t>5.05</w:t>
      </w:r>
      <w:r w:rsidR="00371AA7">
        <w:rPr>
          <w:rFonts w:ascii="Times New Roman" w:eastAsia="Times New Roman" w:hAnsi="Times New Roman"/>
          <w:sz w:val="24"/>
          <w:szCs w:val="24"/>
          <w:lang w:eastAsia="ru-RU"/>
        </w:rPr>
        <w:t>.2024 г. и до 08</w:t>
      </w:r>
      <w:bookmarkStart w:id="0" w:name="_GoBack"/>
      <w:bookmarkEnd w:id="0"/>
      <w:r w:rsidRPr="00C86A5B">
        <w:rPr>
          <w:rFonts w:ascii="Times New Roman" w:eastAsia="Times New Roman" w:hAnsi="Times New Roman"/>
          <w:sz w:val="24"/>
          <w:szCs w:val="24"/>
          <w:lang w:eastAsia="ru-RU"/>
        </w:rPr>
        <w:t xml:space="preserve">:00 часов по местному времени </w:t>
      </w:r>
      <w:r w:rsidR="00C86A5B" w:rsidRPr="00C86A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F75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86A5B" w:rsidRPr="00C86A5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F75A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6A5B">
        <w:rPr>
          <w:rFonts w:ascii="Times New Roman" w:eastAsia="Times New Roman" w:hAnsi="Times New Roman"/>
          <w:sz w:val="24"/>
          <w:szCs w:val="24"/>
          <w:lang w:eastAsia="ru-RU"/>
        </w:rPr>
        <w:t>.2024 г.</w:t>
      </w:r>
    </w:p>
    <w:p w:rsidR="00682C68" w:rsidRDefault="00D92CB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 порядок приема заявок на участие в аукционе: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Заявителем на участие в аукционе (далее – Заявитель) может быть только граждане или в случае предоставления земельного участка для осуществления  крестьянским (фермерским) хозяйством его деятельности – граждане и крестьянские (фермерские) хозяйства, претендующие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 регистрацию (аккредитацию) в качестве физического лица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в соответствии с Регламентом и Инструкциями.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документов: 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заявка на участие в аукционе по форме (Приложение №1 к настоящему извещению) с указанием банковских реквизитов счета для возврата задатка;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копии всех листов документов, удостоверяющих личность заявителя (для граждан)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законом порядке.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вышеуказанные документы должны быть составлены на русском языке (либо содержать надлежащим образом, заверенный перевод на русский язык).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Один заявитель вправе подать только одну заявку на участие в электронном аукционе.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и иные документы, поданные с нарушением установленного срока на электронной площадке, не регистрируются программными средствами. 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до дня окончания срока приема заявок отозвать заявку путем направления уведомления об отзыве заявки на электронную площадку. 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сроки, при этом первоначальная заявка должна быть отозвана.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принятия решения об отказе в проведен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кциона: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принимает решение об отказе в проведении электронного аукциона в случае выявления обстоятельств, предусмотренных </w:t>
      </w:r>
      <w:hyperlink r:id="rId11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пунктом 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39.11 Кодекса. 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аукциона, а электронная площадка разблокировать, средства, перечисленные в качестве задатка.</w:t>
      </w:r>
    </w:p>
    <w:p w:rsidR="00682C68" w:rsidRDefault="00D92CB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рассмотрения заявок на участие в аукционе: </w:t>
      </w:r>
      <w:r w:rsidR="008F75A5">
        <w:rPr>
          <w:rFonts w:ascii="Times New Roman" w:eastAsia="Times New Roman" w:hAnsi="Times New Roman"/>
          <w:b/>
          <w:sz w:val="24"/>
          <w:szCs w:val="24"/>
          <w:lang w:eastAsia="ru-RU"/>
        </w:rPr>
        <w:t>14.06</w:t>
      </w:r>
      <w:r w:rsidR="00C86A5B">
        <w:rPr>
          <w:rFonts w:ascii="Times New Roman" w:eastAsia="Times New Roman" w:hAnsi="Times New Roman"/>
          <w:b/>
          <w:sz w:val="24"/>
          <w:szCs w:val="24"/>
          <w:lang w:eastAsia="ru-RU"/>
        </w:rPr>
        <w:t>.2024 г.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признания заявителей участниками электронного аукциона: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рассмотрения заявок аукционная комиссия рассматривает заявки и документы заявителей, устанавливает факт поступления от заявителей задатков на счет Оператора электронной площадки. 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заявок аукционная комиссия принимает решение о признании заявителей участниками электронного аукциона или об отказе в допуске заявителей к участию в электронном аукционе, которое оформляется протоколом рассмотрения заявок на участие в электронном аукционе.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Заявители, признанные участниками электронного аукциона, становятся участниками электронного аукциона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электронного аукциона протокола рассмотрения заявок.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разблокирует средства заявителя, внесенные им в качестве задатка, заявителю, не допущенному к участию в аукционе в течение трех рабочих дней со дня оформления Протокола рассмотрения заявок на участие в аукционе.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 не допускается аукционной комиссией к участию в электронном аукционе по следующим основаниям: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электронном аукционе;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подача заявки на участие в электронном аукционе лицом, которое в соответствии с Кодексом и другими федеральными законами не имеет права быть участником конкретного электронного аукциона, покупателем земельного участка;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электронный аукцион признается несостоявшимся.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электронный аукцион признан несостоявшимся и только один заявитель признан участником электронного аукциона или единственная заявка на участие в электронном аукционе и заявитель, подавший указанную заявку, соответствуют всем требованиям и указанным в настоящем извещении условиям электронного аукциона, </w:t>
      </w:r>
      <w:r>
        <w:rPr>
          <w:rFonts w:ascii="Times New Roman" w:hAnsi="Times New Roman"/>
          <w:sz w:val="24"/>
          <w:szCs w:val="24"/>
        </w:rPr>
        <w:t>Уполномоченный орган (заказчик) обязан в течение пяти дней со дня истечения десятидневного срока, предусмотренного п. 11 ст. 39.13 Земельного кодекса Российской Федерации, направить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победителю электронного аукциона или единственному участнику, с </w:t>
      </w:r>
      <w:proofErr w:type="gramStart"/>
      <w:r>
        <w:rPr>
          <w:rFonts w:ascii="Times New Roman" w:hAnsi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заключается договор купли-продажи земельного участка, находящегося 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  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Порядок проведения электронного аукциона:</w:t>
      </w:r>
    </w:p>
    <w:p w:rsidR="00682C68" w:rsidRDefault="00D92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>
        <w:rPr>
          <w:rFonts w:ascii="Times New Roman" w:hAnsi="Times New Roman"/>
          <w:sz w:val="24"/>
          <w:szCs w:val="24"/>
        </w:rPr>
        <w:t>Регламентом электронной площадки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:rsidR="00682C68" w:rsidRDefault="00D92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82C68" w:rsidRDefault="00D92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zh-CN" w:eastAsia="zh-CN"/>
        </w:rPr>
        <w:t xml:space="preserve">Во время проведения процедуры аукциона Оператор </w:t>
      </w:r>
      <w:r>
        <w:rPr>
          <w:rFonts w:ascii="Times New Roman" w:hAnsi="Times New Roman"/>
          <w:sz w:val="24"/>
          <w:szCs w:val="24"/>
          <w:lang w:eastAsia="zh-CN"/>
        </w:rPr>
        <w:t xml:space="preserve">электронной площадки </w:t>
      </w:r>
      <w:r>
        <w:rPr>
          <w:rFonts w:ascii="Times New Roman" w:hAnsi="Times New Roman"/>
          <w:sz w:val="24"/>
          <w:szCs w:val="24"/>
          <w:lang w:val="zh-CN" w:eastAsia="zh-CN"/>
        </w:rPr>
        <w:t xml:space="preserve">обеспечивает доступ участников к закрытой части электронной площадки и возможность представления ими предложений о цене </w:t>
      </w:r>
      <w:r>
        <w:rPr>
          <w:rFonts w:ascii="Times New Roman" w:hAnsi="Times New Roman"/>
          <w:sz w:val="24"/>
          <w:szCs w:val="24"/>
          <w:lang w:eastAsia="zh-CN"/>
        </w:rPr>
        <w:t>лота</w:t>
      </w:r>
      <w:r>
        <w:rPr>
          <w:rFonts w:ascii="Times New Roman" w:hAnsi="Times New Roman"/>
          <w:sz w:val="24"/>
          <w:szCs w:val="24"/>
          <w:lang w:val="zh-CN" w:eastAsia="zh-CN"/>
        </w:rPr>
        <w:t>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Оформление результатов аукциона: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аукциона, электронная площадка разблокирует средства, внесенные в качестве задатка для участия в электронном аукционе, лицам, участвовавшим в аукционе, но не победившим в нем.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если истекло время ожидания предложения участника электронного аукциона о цене предмета электронного аукциона 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  <w:proofErr w:type="gramEnd"/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собственности.</w:t>
      </w:r>
    </w:p>
    <w:p w:rsidR="00682C68" w:rsidRDefault="00D92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внесенный лицом, признанным победителем электронного аукциона, задаток, внесенный иным лицом, с которым заключается договор аренды земельного участка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hyperlink r:id="rId12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пунктом 13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hyperlink r:id="rId13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14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hyperlink r:id="rId14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39.12 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засчитываются в оплату приобретаемого земельного участка. Задатки, внесенные этими лицами, не заключившими в установленном порядке </w:t>
      </w:r>
      <w:r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вследствие уклонения от заключения указанного договора, не возвращаются.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Если 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 в течение тридцати дней со дня направления победителю электронного аукциона проектов указанного договора не был им подписан и представлен,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682C68" w:rsidRDefault="00D92CBA" w:rsidP="00C86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электронного аукциона, уклонившегося от заключения договора в отношении предмета электронного аукциона, и об ином лице, с которым заключается указанный договор</w:t>
      </w:r>
      <w:r w:rsidR="00C86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соответствии с </w:t>
      </w:r>
      <w:hyperlink r:id="rId15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пунктом 13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hyperlink r:id="rId16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14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hyperlink r:id="rId17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</w:t>
        </w:r>
      </w:hyperlink>
      <w:hyperlink r:id="rId18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статьи 39.12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и который уклонился от его заключения, включаются Организатором аукциона (заказчиком) в реестр недобросовестных участников электронного аукциона.</w:t>
      </w:r>
    </w:p>
    <w:p w:rsidR="00682C68" w:rsidRDefault="00D92CB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proofErr w:type="gramStart"/>
      <w:r>
        <w:t>Извещение о проведении электронного аукциона размещено на официальном сайте Российской Федерации в сети Интернет для размещения информации о проведении торгов (</w:t>
      </w:r>
      <w:hyperlink r:id="rId19" w:history="1">
        <w:r>
          <w:rPr>
            <w:color w:val="0000FF"/>
            <w:u w:val="single"/>
          </w:rPr>
          <w:t>http</w:t>
        </w:r>
        <w:r>
          <w:rPr>
            <w:color w:val="0000FF"/>
            <w:u w:val="single"/>
            <w:lang w:val="en-US"/>
          </w:rPr>
          <w:t>s</w:t>
        </w:r>
        <w:r>
          <w:rPr>
            <w:color w:val="0000FF"/>
            <w:u w:val="single"/>
          </w:rPr>
          <w:t>://torgi.gov.ru</w:t>
        </w:r>
      </w:hyperlink>
      <w:r>
        <w:t xml:space="preserve">), на ООО </w:t>
      </w:r>
      <w:r>
        <w:rPr>
          <w:b/>
        </w:rPr>
        <w:t>«</w:t>
      </w:r>
      <w:r>
        <w:t xml:space="preserve">РТС-тендер» сайт https://www.rts-tender.ru/; </w:t>
      </w:r>
      <w:r>
        <w:rPr>
          <w:color w:val="181818"/>
        </w:rPr>
        <w:t>в районной газете «Жизнь Иволги»; на официальном сайте администрации муниципального образования</w:t>
      </w:r>
      <w:r w:rsidR="00E00E40">
        <w:rPr>
          <w:color w:val="181818"/>
        </w:rPr>
        <w:t xml:space="preserve"> сельское поселение </w:t>
      </w:r>
      <w:r>
        <w:rPr>
          <w:color w:val="181818"/>
        </w:rPr>
        <w:t>«Иволгинск</w:t>
      </w:r>
      <w:r w:rsidR="00E00E40">
        <w:rPr>
          <w:color w:val="181818"/>
        </w:rPr>
        <w:t>ое</w:t>
      </w:r>
      <w:r>
        <w:rPr>
          <w:color w:val="181818"/>
        </w:rPr>
        <w:t>» </w:t>
      </w:r>
      <w:r>
        <w:t xml:space="preserve"> </w:t>
      </w:r>
      <w:hyperlink r:id="rId20" w:history="1">
        <w:r w:rsidR="00F87DA8" w:rsidRPr="00555C96">
          <w:rPr>
            <w:rStyle w:val="a4"/>
          </w:rPr>
          <w:t>https://иволгинское.рф/dokumenty/izveshcheniya-po-zemelnym-uchastkam/</w:t>
        </w:r>
      </w:hyperlink>
      <w:r w:rsidR="00F87DA8">
        <w:rPr>
          <w:color w:val="181818"/>
        </w:rPr>
        <w:t xml:space="preserve"> </w:t>
      </w:r>
      <w:r w:rsidR="00E00E40">
        <w:rPr>
          <w:color w:val="181818"/>
        </w:rPr>
        <w:t xml:space="preserve"> </w:t>
      </w:r>
      <w:proofErr w:type="gramEnd"/>
    </w:p>
    <w:p w:rsidR="00682C68" w:rsidRDefault="00D92CB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оператором электронной площадки за участие в электронном аукционе. </w:t>
      </w:r>
    </w:p>
    <w:p w:rsidR="00682C68" w:rsidRDefault="00D92C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Оператор электронной площадки взимает плату (в размере 1% начальной цены предмета аукциона, но не более 6 000,00 руб. с учетом НДС) с победителя аукциона или иных лиц,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 которыми в соответствии с </w:t>
      </w:r>
      <w:hyperlink r:id="rId21" w:history="1">
        <w:r>
          <w:rPr>
            <w:rFonts w:ascii="Times New Roman" w:eastAsia="Times New Roman" w:hAnsi="Times New Roman"/>
            <w:sz w:val="24"/>
            <w:szCs w:val="24"/>
          </w:rPr>
          <w:t>пунктами 13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eastAsia="Times New Roman" w:hAnsi="Times New Roman"/>
            <w:sz w:val="24"/>
            <w:szCs w:val="24"/>
          </w:rPr>
          <w:t>14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eastAsia="Times New Roman" w:hAnsi="Times New Roman"/>
            <w:sz w:val="24"/>
            <w:szCs w:val="24"/>
          </w:rPr>
          <w:t>20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и </w:t>
      </w:r>
      <w:hyperlink r:id="rId24" w:history="1">
        <w:r>
          <w:rPr>
            <w:rFonts w:ascii="Times New Roman" w:eastAsia="Times New Roman" w:hAnsi="Times New Roman"/>
            <w:sz w:val="24"/>
            <w:szCs w:val="24"/>
          </w:rPr>
          <w:t>25 статьи 39.12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Кодекса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682C68" w:rsidRDefault="00D92CB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подробной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ознакомиться на электронной площадке оператора процедуры «РТС-тендер» сайт https://www.rts-tender.ru/.</w:t>
      </w:r>
    </w:p>
    <w:p w:rsidR="00682C68" w:rsidRDefault="00682C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C68" w:rsidRDefault="00D92C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Приложения к 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Извещению </w:t>
      </w:r>
      <w:r>
        <w:rPr>
          <w:rFonts w:ascii="Times New Roman" w:hAnsi="Times New Roman"/>
          <w:sz w:val="24"/>
          <w:szCs w:val="24"/>
          <w:lang w:eastAsia="ru-RU"/>
        </w:rPr>
        <w:t>являются его неотъемлемой частью.</w:t>
      </w:r>
    </w:p>
    <w:p w:rsidR="00682C68" w:rsidRDefault="00682C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C68" w:rsidRDefault="00D92C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опубликованы на сайте </w:t>
      </w:r>
      <w:hyperlink r:id="rId25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https://torgi.gov.ru/new/public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2C68" w:rsidRDefault="00D92CBA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Бланк заявки на участие в аукционе;</w:t>
      </w:r>
    </w:p>
    <w:p w:rsidR="00682C68" w:rsidRDefault="00D92CBA">
      <w:pPr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договора аренды земельного участка</w:t>
      </w:r>
    </w:p>
    <w:p w:rsidR="00682C68" w:rsidRDefault="00682C68">
      <w:pPr>
        <w:pStyle w:val="ae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  <w:sectPr w:rsidR="00682C68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682C68" w:rsidRDefault="00682C68" w:rsidP="008F75A5">
      <w:pPr>
        <w:spacing w:after="0" w:line="240" w:lineRule="auto"/>
        <w:rPr>
          <w:color w:val="181818"/>
          <w:sz w:val="28"/>
          <w:szCs w:val="28"/>
        </w:rPr>
      </w:pPr>
    </w:p>
    <w:sectPr w:rsidR="0068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CB" w:rsidRDefault="009E78CB">
      <w:pPr>
        <w:spacing w:line="240" w:lineRule="auto"/>
      </w:pPr>
      <w:r>
        <w:separator/>
      </w:r>
    </w:p>
  </w:endnote>
  <w:endnote w:type="continuationSeparator" w:id="0">
    <w:p w:rsidR="009E78CB" w:rsidRDefault="009E7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CB" w:rsidRDefault="009E78CB">
      <w:pPr>
        <w:spacing w:after="0"/>
      </w:pPr>
      <w:r>
        <w:separator/>
      </w:r>
    </w:p>
  </w:footnote>
  <w:footnote w:type="continuationSeparator" w:id="0">
    <w:p w:rsidR="009E78CB" w:rsidRDefault="009E78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2E8"/>
    <w:multiLevelType w:val="multilevel"/>
    <w:tmpl w:val="598A5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2"/>
    <w:rsid w:val="0002583C"/>
    <w:rsid w:val="000306A8"/>
    <w:rsid w:val="000657E0"/>
    <w:rsid w:val="000676A4"/>
    <w:rsid w:val="0008064B"/>
    <w:rsid w:val="00082C24"/>
    <w:rsid w:val="000A0693"/>
    <w:rsid w:val="000B0BB8"/>
    <w:rsid w:val="000F0715"/>
    <w:rsid w:val="00146029"/>
    <w:rsid w:val="001650FA"/>
    <w:rsid w:val="001658C8"/>
    <w:rsid w:val="001B346D"/>
    <w:rsid w:val="001B517C"/>
    <w:rsid w:val="001D3653"/>
    <w:rsid w:val="001D48F8"/>
    <w:rsid w:val="001D5C12"/>
    <w:rsid w:val="001E21A3"/>
    <w:rsid w:val="001E540B"/>
    <w:rsid w:val="001E5EA1"/>
    <w:rsid w:val="001F30E1"/>
    <w:rsid w:val="00216F65"/>
    <w:rsid w:val="00244E0A"/>
    <w:rsid w:val="00276C98"/>
    <w:rsid w:val="002874DA"/>
    <w:rsid w:val="00287C15"/>
    <w:rsid w:val="002A6A3C"/>
    <w:rsid w:val="002D30AB"/>
    <w:rsid w:val="002D4033"/>
    <w:rsid w:val="002E05F6"/>
    <w:rsid w:val="002E5410"/>
    <w:rsid w:val="002E612F"/>
    <w:rsid w:val="002F03CB"/>
    <w:rsid w:val="002F26A0"/>
    <w:rsid w:val="002F4235"/>
    <w:rsid w:val="0030075D"/>
    <w:rsid w:val="00314871"/>
    <w:rsid w:val="00326FCA"/>
    <w:rsid w:val="00344761"/>
    <w:rsid w:val="00370314"/>
    <w:rsid w:val="00371AA7"/>
    <w:rsid w:val="00377B4D"/>
    <w:rsid w:val="00381298"/>
    <w:rsid w:val="00385C3E"/>
    <w:rsid w:val="0039728C"/>
    <w:rsid w:val="003B534D"/>
    <w:rsid w:val="003B5EE4"/>
    <w:rsid w:val="003D0FC5"/>
    <w:rsid w:val="003D7838"/>
    <w:rsid w:val="003F7A64"/>
    <w:rsid w:val="00407F8F"/>
    <w:rsid w:val="0041658E"/>
    <w:rsid w:val="0042396F"/>
    <w:rsid w:val="00431D1F"/>
    <w:rsid w:val="004437BD"/>
    <w:rsid w:val="004608BB"/>
    <w:rsid w:val="00461B6B"/>
    <w:rsid w:val="00463902"/>
    <w:rsid w:val="004664B7"/>
    <w:rsid w:val="0047205A"/>
    <w:rsid w:val="00475906"/>
    <w:rsid w:val="0047776C"/>
    <w:rsid w:val="00482C6E"/>
    <w:rsid w:val="00483365"/>
    <w:rsid w:val="004846BE"/>
    <w:rsid w:val="004A5AFC"/>
    <w:rsid w:val="004D0FAA"/>
    <w:rsid w:val="004D46F2"/>
    <w:rsid w:val="004F21F7"/>
    <w:rsid w:val="004F7888"/>
    <w:rsid w:val="00513278"/>
    <w:rsid w:val="005218EF"/>
    <w:rsid w:val="00527EF5"/>
    <w:rsid w:val="005349EA"/>
    <w:rsid w:val="00547A0D"/>
    <w:rsid w:val="0055218D"/>
    <w:rsid w:val="00555475"/>
    <w:rsid w:val="00580B88"/>
    <w:rsid w:val="00584638"/>
    <w:rsid w:val="005A57D0"/>
    <w:rsid w:val="005C4AEB"/>
    <w:rsid w:val="005D53C7"/>
    <w:rsid w:val="005F04F2"/>
    <w:rsid w:val="005F5039"/>
    <w:rsid w:val="00601A76"/>
    <w:rsid w:val="00627954"/>
    <w:rsid w:val="006441EC"/>
    <w:rsid w:val="0064666E"/>
    <w:rsid w:val="006511F0"/>
    <w:rsid w:val="00652A1C"/>
    <w:rsid w:val="00654D86"/>
    <w:rsid w:val="006639DB"/>
    <w:rsid w:val="006651B0"/>
    <w:rsid w:val="00682C68"/>
    <w:rsid w:val="00697678"/>
    <w:rsid w:val="006A0A41"/>
    <w:rsid w:val="006A1D96"/>
    <w:rsid w:val="006A267A"/>
    <w:rsid w:val="006D1613"/>
    <w:rsid w:val="006D4341"/>
    <w:rsid w:val="006D5A59"/>
    <w:rsid w:val="00703A96"/>
    <w:rsid w:val="00720E2A"/>
    <w:rsid w:val="00721E3F"/>
    <w:rsid w:val="0073700C"/>
    <w:rsid w:val="007415CD"/>
    <w:rsid w:val="00751BE6"/>
    <w:rsid w:val="00753F6B"/>
    <w:rsid w:val="00767314"/>
    <w:rsid w:val="0077423B"/>
    <w:rsid w:val="00786794"/>
    <w:rsid w:val="00792D74"/>
    <w:rsid w:val="007A4DBF"/>
    <w:rsid w:val="007A7B10"/>
    <w:rsid w:val="007C5342"/>
    <w:rsid w:val="007D4423"/>
    <w:rsid w:val="007E35BF"/>
    <w:rsid w:val="007F1DB3"/>
    <w:rsid w:val="007F4043"/>
    <w:rsid w:val="00812EF3"/>
    <w:rsid w:val="0081328D"/>
    <w:rsid w:val="00821B98"/>
    <w:rsid w:val="00832B5D"/>
    <w:rsid w:val="00837C29"/>
    <w:rsid w:val="008608C3"/>
    <w:rsid w:val="00860948"/>
    <w:rsid w:val="00870362"/>
    <w:rsid w:val="00891831"/>
    <w:rsid w:val="008923EC"/>
    <w:rsid w:val="008B0E6E"/>
    <w:rsid w:val="008D5CC2"/>
    <w:rsid w:val="008E580B"/>
    <w:rsid w:val="008F75A5"/>
    <w:rsid w:val="00913821"/>
    <w:rsid w:val="009238F7"/>
    <w:rsid w:val="00926A61"/>
    <w:rsid w:val="00932BFA"/>
    <w:rsid w:val="00934508"/>
    <w:rsid w:val="00937C64"/>
    <w:rsid w:val="009404FD"/>
    <w:rsid w:val="00944899"/>
    <w:rsid w:val="00984E73"/>
    <w:rsid w:val="009936D6"/>
    <w:rsid w:val="009D0ED3"/>
    <w:rsid w:val="009E78CB"/>
    <w:rsid w:val="00A01EB1"/>
    <w:rsid w:val="00A22F16"/>
    <w:rsid w:val="00A23AA4"/>
    <w:rsid w:val="00A41211"/>
    <w:rsid w:val="00A44486"/>
    <w:rsid w:val="00A6048D"/>
    <w:rsid w:val="00A61585"/>
    <w:rsid w:val="00A66DDE"/>
    <w:rsid w:val="00AC0B92"/>
    <w:rsid w:val="00AD4730"/>
    <w:rsid w:val="00AF01F6"/>
    <w:rsid w:val="00B04ECE"/>
    <w:rsid w:val="00B3015A"/>
    <w:rsid w:val="00B36D88"/>
    <w:rsid w:val="00B40C68"/>
    <w:rsid w:val="00B46DAF"/>
    <w:rsid w:val="00B648F9"/>
    <w:rsid w:val="00B70BFA"/>
    <w:rsid w:val="00B96F20"/>
    <w:rsid w:val="00BA2A28"/>
    <w:rsid w:val="00BA3477"/>
    <w:rsid w:val="00BA57AF"/>
    <w:rsid w:val="00BC0714"/>
    <w:rsid w:val="00BC401A"/>
    <w:rsid w:val="00BC4BD0"/>
    <w:rsid w:val="00BE156F"/>
    <w:rsid w:val="00BE6C7F"/>
    <w:rsid w:val="00C11109"/>
    <w:rsid w:val="00C2771E"/>
    <w:rsid w:val="00C27C07"/>
    <w:rsid w:val="00C363A0"/>
    <w:rsid w:val="00C4296A"/>
    <w:rsid w:val="00C500E4"/>
    <w:rsid w:val="00C54EC7"/>
    <w:rsid w:val="00C74A84"/>
    <w:rsid w:val="00C86A5B"/>
    <w:rsid w:val="00CA5246"/>
    <w:rsid w:val="00CC2168"/>
    <w:rsid w:val="00CD5FD8"/>
    <w:rsid w:val="00CE512C"/>
    <w:rsid w:val="00CE732C"/>
    <w:rsid w:val="00CF5BCB"/>
    <w:rsid w:val="00D17FC3"/>
    <w:rsid w:val="00D251EE"/>
    <w:rsid w:val="00D47812"/>
    <w:rsid w:val="00D50DEB"/>
    <w:rsid w:val="00D621B0"/>
    <w:rsid w:val="00D70F6F"/>
    <w:rsid w:val="00D733D8"/>
    <w:rsid w:val="00D92CBA"/>
    <w:rsid w:val="00DD4386"/>
    <w:rsid w:val="00DF3D13"/>
    <w:rsid w:val="00E00618"/>
    <w:rsid w:val="00E00E40"/>
    <w:rsid w:val="00E10E2F"/>
    <w:rsid w:val="00E200D5"/>
    <w:rsid w:val="00E250E1"/>
    <w:rsid w:val="00E2644A"/>
    <w:rsid w:val="00E36898"/>
    <w:rsid w:val="00E52E35"/>
    <w:rsid w:val="00EA1E13"/>
    <w:rsid w:val="00EA3560"/>
    <w:rsid w:val="00EB1E06"/>
    <w:rsid w:val="00EE39F7"/>
    <w:rsid w:val="00EE44E0"/>
    <w:rsid w:val="00EF1055"/>
    <w:rsid w:val="00EF22D2"/>
    <w:rsid w:val="00F05CC3"/>
    <w:rsid w:val="00F14FD5"/>
    <w:rsid w:val="00F5193E"/>
    <w:rsid w:val="00F56563"/>
    <w:rsid w:val="00F87DA8"/>
    <w:rsid w:val="00F9134A"/>
    <w:rsid w:val="00FA3E58"/>
    <w:rsid w:val="00FB421D"/>
    <w:rsid w:val="00FB7BC1"/>
    <w:rsid w:val="00FD03D6"/>
    <w:rsid w:val="00FF02C4"/>
    <w:rsid w:val="3E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Body Text 2" w:semiHidden="0" w:uiPriority="0" w:unhideWhenUsed="0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pPr>
      <w:keepNext/>
      <w:tabs>
        <w:tab w:val="left" w:pos="0"/>
      </w:tabs>
      <w:spacing w:after="0" w:line="240" w:lineRule="auto"/>
      <w:ind w:firstLine="425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i/>
      <w:iCs/>
    </w:rPr>
  </w:style>
  <w:style w:type="character" w:styleId="a4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locked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z w:val="24"/>
      <w:szCs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a9">
    <w:name w:val="Основной текст Знак"/>
    <w:link w:val="a8"/>
    <w:qFormat/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/>
      <w:sz w:val="20"/>
      <w:szCs w:val="20"/>
    </w:rPr>
  </w:style>
  <w:style w:type="character" w:customStyle="1" w:styleId="ab">
    <w:name w:val="Название Знак"/>
    <w:link w:val="aa"/>
    <w:qFormat/>
    <w:rPr>
      <w:rFonts w:ascii="Times New Roman" w:eastAsia="Times New Roman" w:hAnsi="Times New Roman"/>
      <w:b/>
      <w:sz w:val="20"/>
      <w:szCs w:val="20"/>
    </w:rPr>
  </w:style>
  <w:style w:type="paragraph" w:customStyle="1" w:styleId="FR1">
    <w:name w:val="FR1"/>
    <w:pPr>
      <w:widowControl w:val="0"/>
      <w:spacing w:before="140"/>
      <w:ind w:left="120"/>
      <w:jc w:val="center"/>
    </w:pPr>
    <w:rPr>
      <w:rFonts w:ascii="Arial" w:eastAsia="Times New Roman" w:hAnsi="Arial"/>
      <w:b/>
      <w:snapToGrid w:val="0"/>
      <w:sz w:val="28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E00E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Body Text 2" w:semiHidden="0" w:uiPriority="0" w:unhideWhenUsed="0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pPr>
      <w:keepNext/>
      <w:tabs>
        <w:tab w:val="left" w:pos="0"/>
      </w:tabs>
      <w:spacing w:after="0" w:line="240" w:lineRule="auto"/>
      <w:ind w:firstLine="425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i/>
      <w:iCs/>
    </w:rPr>
  </w:style>
  <w:style w:type="character" w:styleId="a4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locked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z w:val="24"/>
      <w:szCs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a9">
    <w:name w:val="Основной текст Знак"/>
    <w:link w:val="a8"/>
    <w:qFormat/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/>
      <w:sz w:val="20"/>
      <w:szCs w:val="20"/>
    </w:rPr>
  </w:style>
  <w:style w:type="character" w:customStyle="1" w:styleId="ab">
    <w:name w:val="Название Знак"/>
    <w:link w:val="aa"/>
    <w:qFormat/>
    <w:rPr>
      <w:rFonts w:ascii="Times New Roman" w:eastAsia="Times New Roman" w:hAnsi="Times New Roman"/>
      <w:b/>
      <w:sz w:val="20"/>
      <w:szCs w:val="20"/>
    </w:rPr>
  </w:style>
  <w:style w:type="paragraph" w:customStyle="1" w:styleId="FR1">
    <w:name w:val="FR1"/>
    <w:pPr>
      <w:widowControl w:val="0"/>
      <w:spacing w:before="140"/>
      <w:ind w:left="120"/>
      <w:jc w:val="center"/>
    </w:pPr>
    <w:rPr>
      <w:rFonts w:ascii="Arial" w:eastAsia="Times New Roman" w:hAnsi="Arial"/>
      <w:b/>
      <w:snapToGrid w:val="0"/>
      <w:sz w:val="28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E00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016BD7E6EEDCCD191569E7495CC476C724584F646FF9F888C947580934A129A38FDF63FD518453BC2A2DC7C01501B3BAE076559ATCwAD" TargetMode="External"/><Relationship Id="rId18" Type="http://schemas.openxmlformats.org/officeDocument/2006/relationships/hyperlink" Target="consultantplus://offline/ref=76AF3737DBCD83EB5FC083569330E37717D424D86C3A8FE55FDB515BAFB1E479B260CE1AE1EB42B1874F12E0A1552540EDD2065BB2DB7897VDR3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AF3737DBCD83EB5FC083569330E37717D424D86C3A8FE55FDB515BAFB1E479B260CE1DE9E34BE6D40013BCE4083641E0D2045EAEVDRA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016BD7E6EEDCCD191569E7495CC476C724584F646FF9F888C947580934A129A38FDF63FC588453BC2A2DC7C01501B3BAE076559ATCwAD" TargetMode="External"/><Relationship Id="rId17" Type="http://schemas.openxmlformats.org/officeDocument/2006/relationships/hyperlink" Target="consultantplus://offline/ref=4D11E6E736B9A0B4D5AAD7426E8ED14ADD9D0E7B16A49624610489664DE1E0587FE83F67F9B24C5B0FD1A831585A8A33F319D7F1F2p7fED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11E6E736B9A0B4D5AAD7426E8ED14ADD9D0E7B16A49624610489664DE1E0587FE83F66F0B04C5B0FD1A831585A8A33F319D7F1F2p7fED" TargetMode="External"/><Relationship Id="rId20" Type="http://schemas.openxmlformats.org/officeDocument/2006/relationships/hyperlink" Target="https://&#1080;&#1074;&#1086;&#1083;&#1075;&#1080;&#1085;&#1089;&#1082;&#1086;&#1077;.&#1088;&#1092;/dokumenty/izveshcheniya-po-zemelnym-uchastk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56155962A3BE3F798CC1C82CFF41F17A63895743E4A9B1BA349B93B9EDDCF093E39593FDi0NCK" TargetMode="External"/><Relationship Id="rId24" Type="http://schemas.openxmlformats.org/officeDocument/2006/relationships/hyperlink" Target="consultantplus://offline/ref=76AF3737DBCD83EB5FC083569330E37717D424D86C3A8FE55FDB515BAFB1E479B260CE1AE1EB42B1874F12E0A1552540EDD2065BB2DB7897VDR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11E6E736B9A0B4D5AAD7426E8ED14ADD9D0E7B16A49624610489664DE1E0587FE83F66F1B94C5B0FD1A831585A8A33F319D7F1F2p7fED" TargetMode="External"/><Relationship Id="rId23" Type="http://schemas.openxmlformats.org/officeDocument/2006/relationships/hyperlink" Target="consultantplus://offline/ref=76AF3737DBCD83EB5FC083569330E37717D424D86C3A8FE55FDB515BAFB1E479B260CE1CE1E84BE6D40013BCE4083641E0D2045EAEVDRAD" TargetMode="External"/><Relationship Id="rId10" Type="http://schemas.openxmlformats.org/officeDocument/2006/relationships/hyperlink" Target="http://admivl.ru/gradostroitelnaya-deyatelnost/generalnye-plany-selskix-poselenij/" TargetMode="External"/><Relationship Id="rId19" Type="http://schemas.openxmlformats.org/officeDocument/2006/relationships/hyperlink" Target="https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volginskoe@mail.ru" TargetMode="External"/><Relationship Id="rId14" Type="http://schemas.openxmlformats.org/officeDocument/2006/relationships/hyperlink" Target="consultantplus://offline/ref=B7016BD7E6EEDCCD191569E7495CC476C724584F646FF9F888C947580934A129A38FDF62F4538453BC2A2DC7C01501B3BAE076559ATCwAD" TargetMode="External"/><Relationship Id="rId22" Type="http://schemas.openxmlformats.org/officeDocument/2006/relationships/hyperlink" Target="consultantplus://offline/ref=76AF3737DBCD83EB5FC083569330E37717D424D86C3A8FE55FDB515BAFB1E479B260CE1DE8EA4BE6D40013BCE4083641E0D2045EAEVDR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F94B-3D12-4C4C-9CC3-A119DA91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User3</cp:lastModifiedBy>
  <cp:revision>4</cp:revision>
  <cp:lastPrinted>2018-09-03T08:29:00Z</cp:lastPrinted>
  <dcterms:created xsi:type="dcterms:W3CDTF">2024-05-13T05:17:00Z</dcterms:created>
  <dcterms:modified xsi:type="dcterms:W3CDTF">2024-05-13T06:03:00Z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8964E7298EFE44188F82BFA7807B679B_12</vt:lpwstr>
  </property>
</Properties>
</file>