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890FC6">
        <w:rPr>
          <w:b/>
          <w:bCs/>
          <w:sz w:val="28"/>
          <w:szCs w:val="28"/>
        </w:rPr>
        <w:t xml:space="preserve"> № </w:t>
      </w:r>
      <w:r w:rsidR="008C77C8">
        <w:rPr>
          <w:b/>
          <w:bCs/>
          <w:sz w:val="28"/>
          <w:szCs w:val="28"/>
        </w:rPr>
        <w:t>91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</w:t>
      </w:r>
      <w:r w:rsidR="005C75E5">
        <w:rPr>
          <w:sz w:val="28"/>
          <w:szCs w:val="28"/>
        </w:rPr>
        <w:t>«</w:t>
      </w:r>
      <w:r w:rsidR="008C77C8">
        <w:rPr>
          <w:sz w:val="28"/>
          <w:szCs w:val="28"/>
        </w:rPr>
        <w:t>15</w:t>
      </w:r>
      <w:r w:rsidR="005C75E5">
        <w:rPr>
          <w:sz w:val="28"/>
          <w:szCs w:val="28"/>
        </w:rPr>
        <w:t>»</w:t>
      </w:r>
      <w:r w:rsidR="00107028">
        <w:rPr>
          <w:sz w:val="28"/>
          <w:szCs w:val="28"/>
        </w:rPr>
        <w:t xml:space="preserve"> </w:t>
      </w:r>
      <w:r w:rsidR="008C77C8">
        <w:rPr>
          <w:sz w:val="28"/>
          <w:szCs w:val="28"/>
        </w:rPr>
        <w:t>декабря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</w:t>
      </w:r>
      <w:r w:rsidR="00A86AE2">
        <w:rPr>
          <w:b/>
          <w:i/>
          <w:sz w:val="28"/>
          <w:szCs w:val="28"/>
        </w:rPr>
        <w:t>2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</w:t>
      </w:r>
      <w:r w:rsidR="00A86AE2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и 202</w:t>
      </w:r>
      <w:r w:rsidR="00A86AE2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</w:t>
      </w:r>
      <w:r w:rsidR="00A86AE2">
        <w:rPr>
          <w:b/>
          <w:bCs/>
          <w:iCs/>
          <w:sz w:val="28"/>
          <w:szCs w:val="28"/>
        </w:rPr>
        <w:t>2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="005C75E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0 806,152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A86AE2">
        <w:rPr>
          <w:sz w:val="28"/>
          <w:szCs w:val="28"/>
        </w:rPr>
        <w:t>11</w:t>
      </w:r>
      <w:r w:rsidR="00D56A38">
        <w:rPr>
          <w:sz w:val="28"/>
          <w:szCs w:val="28"/>
        </w:rPr>
        <w:t> 653,662</w:t>
      </w:r>
      <w:r w:rsidR="00D57248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0 806,152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C75E5">
        <w:rPr>
          <w:sz w:val="28"/>
          <w:szCs w:val="28"/>
        </w:rPr>
        <w:t>0,00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86AE2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1 228,727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12</w:t>
      </w:r>
      <w:r w:rsidR="00A86AE2">
        <w:rPr>
          <w:sz w:val="28"/>
          <w:szCs w:val="28"/>
        </w:rPr>
        <w:t> 182,067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655984">
        <w:rPr>
          <w:sz w:val="28"/>
          <w:szCs w:val="28"/>
        </w:rPr>
        <w:t>2</w:t>
      </w:r>
      <w:r w:rsidR="00A86AE2">
        <w:rPr>
          <w:sz w:val="28"/>
          <w:szCs w:val="28"/>
        </w:rPr>
        <w:t>1 228,727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26,167</w:t>
      </w:r>
      <w:r w:rsid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>тыс. рублей.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</w:t>
      </w:r>
      <w:r w:rsidR="00A86AE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A039CD">
        <w:rPr>
          <w:sz w:val="28"/>
          <w:szCs w:val="28"/>
        </w:rPr>
        <w:t>1</w:t>
      </w:r>
      <w:r w:rsidR="00655984">
        <w:rPr>
          <w:sz w:val="28"/>
          <w:szCs w:val="28"/>
        </w:rPr>
        <w:t>7</w:t>
      </w:r>
      <w:r w:rsidR="00A86AE2">
        <w:rPr>
          <w:sz w:val="28"/>
          <w:szCs w:val="28"/>
        </w:rPr>
        <w:t> 874,98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8 6</w:t>
      </w:r>
      <w:r w:rsidR="00A86AE2">
        <w:rPr>
          <w:sz w:val="28"/>
          <w:szCs w:val="28"/>
        </w:rPr>
        <w:t>0</w:t>
      </w:r>
      <w:r w:rsidR="00655984">
        <w:rPr>
          <w:sz w:val="28"/>
          <w:szCs w:val="28"/>
        </w:rPr>
        <w:t>6,</w:t>
      </w:r>
      <w:r w:rsidR="00A86AE2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655984">
        <w:rPr>
          <w:sz w:val="28"/>
          <w:szCs w:val="28"/>
        </w:rPr>
        <w:t>17</w:t>
      </w:r>
      <w:r w:rsidR="00A86AE2">
        <w:rPr>
          <w:sz w:val="28"/>
          <w:szCs w:val="28"/>
        </w:rPr>
        <w:t> 874,98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4</w:t>
      </w:r>
      <w:r w:rsidR="00A86AE2">
        <w:rPr>
          <w:sz w:val="28"/>
          <w:szCs w:val="28"/>
        </w:rPr>
        <w:t>63,445</w:t>
      </w:r>
      <w:r w:rsidR="00636B66" w:rsidRPr="000537B0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31237E" w:rsidRDefault="005F3174" w:rsidP="00D50F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F3174" w:rsidRPr="004B765F" w:rsidRDefault="005F3174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5F3174" w:rsidRPr="00732F5C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 w:rsidR="008C204A"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Pr="004B765F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r w:rsidR="008C204A">
        <w:rPr>
          <w:sz w:val="28"/>
          <w:szCs w:val="28"/>
        </w:rPr>
        <w:t>Иволгинский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5F3174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60" w:firstLine="0"/>
        <w:jc w:val="both"/>
        <w:rPr>
          <w:sz w:val="28"/>
          <w:szCs w:val="28"/>
        </w:rPr>
      </w:pPr>
      <w:r w:rsidRPr="00040E86">
        <w:rPr>
          <w:sz w:val="28"/>
          <w:szCs w:val="28"/>
        </w:rPr>
        <w:t xml:space="preserve">Перечень главных </w:t>
      </w:r>
      <w:proofErr w:type="gramStart"/>
      <w:r w:rsidRPr="00040E86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40E86">
        <w:rPr>
          <w:sz w:val="28"/>
          <w:szCs w:val="28"/>
        </w:rPr>
        <w:t xml:space="preserve"> согласно приложению 3 к настоящему Решению. 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4) Бюджетные учреждения, находящиеся в ведении муниципального образования сельское поселение «Иволгинское», вправе использовать на обеспечение своей </w:t>
      </w:r>
      <w:proofErr w:type="gramStart"/>
      <w:r w:rsidRPr="00040E86">
        <w:rPr>
          <w:sz w:val="28"/>
          <w:szCs w:val="28"/>
        </w:rPr>
        <w:t>деятельности</w:t>
      </w:r>
      <w:proofErr w:type="gramEnd"/>
      <w:r w:rsidRPr="00040E86">
        <w:rPr>
          <w:sz w:val="28"/>
          <w:szCs w:val="28"/>
        </w:rPr>
        <w:t xml:space="preserve"> полученные ими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040E86">
        <w:rPr>
          <w:sz w:val="28"/>
          <w:szCs w:val="28"/>
        </w:rPr>
        <w:t>5) Бюджетные учреждения с учетом положений части 1 настоящей статьи осуществляют операции с указанными средствами в установленном Министерством финансов Республики Бурятия порядке в соответствии со сметой доходов и расходов по приносящей доход деятельности.</w:t>
      </w:r>
      <w:proofErr w:type="gramEnd"/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  6) 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040E86" w:rsidRPr="00040E86" w:rsidRDefault="00040E86" w:rsidP="00040E86">
      <w:pPr>
        <w:autoSpaceDE w:val="0"/>
        <w:autoSpaceDN w:val="0"/>
        <w:adjustRightInd w:val="0"/>
        <w:ind w:left="540"/>
        <w:jc w:val="both"/>
        <w:outlineLvl w:val="1"/>
        <w:rPr>
          <w:sz w:val="26"/>
          <w:szCs w:val="26"/>
        </w:rPr>
      </w:pPr>
    </w:p>
    <w:p w:rsidR="00040E86" w:rsidRDefault="00040E86" w:rsidP="00D50F21">
      <w:pPr>
        <w:ind w:left="60"/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A86AE2">
        <w:rPr>
          <w:sz w:val="28"/>
          <w:szCs w:val="28"/>
        </w:rPr>
        <w:t>22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 xml:space="preserve">23 </w:t>
      </w:r>
      <w:r w:rsidRPr="002477DF">
        <w:rPr>
          <w:sz w:val="28"/>
          <w:szCs w:val="28"/>
        </w:rPr>
        <w:t>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</w:t>
      </w:r>
      <w:r w:rsidR="00A86AE2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86AE2">
        <w:rPr>
          <w:sz w:val="28"/>
          <w:szCs w:val="28"/>
        </w:rPr>
        <w:t>24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lastRenderedPageBreak/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C75E5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86AE2">
        <w:rPr>
          <w:sz w:val="28"/>
          <w:szCs w:val="28"/>
        </w:rPr>
        <w:t>2022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86AE2">
        <w:rPr>
          <w:sz w:val="28"/>
          <w:szCs w:val="28"/>
        </w:rPr>
        <w:t>2023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86AE2">
        <w:rPr>
          <w:sz w:val="28"/>
          <w:szCs w:val="28"/>
        </w:rPr>
        <w:t>2024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 доходов в местный бюджет на 2019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86AE2">
        <w:rPr>
          <w:rFonts w:ascii="Times New Roman" w:hAnsi="Times New Roman" w:cs="Times New Roman"/>
          <w:sz w:val="28"/>
          <w:szCs w:val="28"/>
        </w:rPr>
        <w:t>2024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A86AE2">
        <w:rPr>
          <w:rFonts w:ascii="Times New Roman" w:hAnsi="Times New Roman" w:cs="Times New Roman"/>
          <w:sz w:val="28"/>
          <w:szCs w:val="28"/>
        </w:rPr>
        <w:t>3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 w:rsidR="00A86AE2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 w:rsidR="00A039CD">
        <w:rPr>
          <w:sz w:val="28"/>
          <w:szCs w:val="28"/>
        </w:rPr>
        <w:t xml:space="preserve">ого образования на </w:t>
      </w:r>
      <w:r w:rsidR="00A86AE2">
        <w:rPr>
          <w:sz w:val="28"/>
          <w:szCs w:val="28"/>
        </w:rPr>
        <w:t>1 января 2025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 w:rsidR="00A86AE2">
        <w:rPr>
          <w:sz w:val="28"/>
          <w:szCs w:val="28"/>
        </w:rPr>
        <w:t>3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lastRenderedPageBreak/>
        <w:t>предельный объем муниципального долга муниципального образования в течение 2</w:t>
      </w:r>
      <w:r w:rsidR="00A039CD">
        <w:rPr>
          <w:sz w:val="28"/>
          <w:szCs w:val="28"/>
        </w:rPr>
        <w:t>02</w:t>
      </w:r>
      <w:r w:rsidR="00A86AE2">
        <w:rPr>
          <w:sz w:val="28"/>
          <w:szCs w:val="28"/>
        </w:rPr>
        <w:t>4</w:t>
      </w:r>
      <w:r w:rsidR="00A039CD">
        <w:rPr>
          <w:sz w:val="28"/>
          <w:szCs w:val="28"/>
        </w:rPr>
        <w:t xml:space="preserve"> 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DA6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A86A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86AE2">
        <w:rPr>
          <w:sz w:val="28"/>
          <w:szCs w:val="28"/>
        </w:rPr>
        <w:t>ниципального образования на 2023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A86AE2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072492">
        <w:rPr>
          <w:rFonts w:ascii="Times New Roman" w:hAnsi="Times New Roman" w:cs="Times New Roman"/>
          <w:sz w:val="28"/>
          <w:szCs w:val="28"/>
        </w:rPr>
        <w:t>2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</w:t>
      </w:r>
      <w:r w:rsidR="00072492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</w:t>
      </w:r>
      <w:r w:rsidR="00A039CD">
        <w:rPr>
          <w:sz w:val="28"/>
          <w:szCs w:val="28"/>
        </w:rPr>
        <w:t>ниципального образования на 202</w:t>
      </w:r>
      <w:r w:rsidR="00072492">
        <w:rPr>
          <w:sz w:val="28"/>
          <w:szCs w:val="28"/>
        </w:rPr>
        <w:t>4</w:t>
      </w:r>
      <w:r w:rsidRPr="007D0545">
        <w:rPr>
          <w:sz w:val="28"/>
          <w:szCs w:val="28"/>
        </w:rPr>
        <w:t xml:space="preserve">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072492">
        <w:rPr>
          <w:rFonts w:ascii="Times New Roman" w:hAnsi="Times New Roman" w:cs="Times New Roman"/>
          <w:sz w:val="28"/>
          <w:szCs w:val="28"/>
        </w:rPr>
        <w:t>2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 w:rsidR="00072492">
        <w:rPr>
          <w:rFonts w:ascii="Times New Roman" w:hAnsi="Times New Roman" w:cs="Times New Roman"/>
          <w:sz w:val="28"/>
          <w:szCs w:val="28"/>
        </w:rPr>
        <w:t>3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107028">
      <w:pPr>
        <w:pStyle w:val="ConsPlusNormal"/>
        <w:widowControl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r w:rsidR="00072492">
        <w:rPr>
          <w:rFonts w:ascii="Times New Roman" w:hAnsi="Times New Roman" w:cs="Times New Roman"/>
          <w:sz w:val="28"/>
          <w:szCs w:val="28"/>
        </w:rPr>
        <w:t>4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</w:t>
      </w:r>
      <w:r w:rsidR="00072492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24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</w:t>
      </w:r>
      <w:r w:rsidR="00072492">
        <w:rPr>
          <w:rFonts w:ascii="Times New Roman" w:hAnsi="Times New Roman" w:cs="Times New Roman"/>
          <w:sz w:val="28"/>
          <w:szCs w:val="28"/>
        </w:rPr>
        <w:t>4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A039CD">
        <w:rPr>
          <w:sz w:val="28"/>
          <w:szCs w:val="28"/>
        </w:rPr>
        <w:t>2</w:t>
      </w:r>
      <w:r w:rsidR="00072492">
        <w:rPr>
          <w:sz w:val="28"/>
          <w:szCs w:val="28"/>
        </w:rPr>
        <w:t>2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E2" w:rsidRDefault="00A86AE2" w:rsidP="00D831A3">
      <w:r>
        <w:separator/>
      </w:r>
    </w:p>
  </w:endnote>
  <w:endnote w:type="continuationSeparator" w:id="0">
    <w:p w:rsidR="00A86AE2" w:rsidRDefault="00A86AE2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E2" w:rsidRPr="004F3039" w:rsidRDefault="00A86AE2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E2" w:rsidRDefault="00A86AE2" w:rsidP="00D831A3">
      <w:r>
        <w:separator/>
      </w:r>
    </w:p>
  </w:footnote>
  <w:footnote w:type="continuationSeparator" w:id="0">
    <w:p w:rsidR="00A86AE2" w:rsidRDefault="00A86AE2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40E86"/>
    <w:rsid w:val="00072492"/>
    <w:rsid w:val="00084B13"/>
    <w:rsid w:val="000E52A8"/>
    <w:rsid w:val="00107028"/>
    <w:rsid w:val="001302D1"/>
    <w:rsid w:val="00151F64"/>
    <w:rsid w:val="00164A4B"/>
    <w:rsid w:val="00164EBF"/>
    <w:rsid w:val="00186B51"/>
    <w:rsid w:val="001D6157"/>
    <w:rsid w:val="001F4EE5"/>
    <w:rsid w:val="00241DBD"/>
    <w:rsid w:val="002477DF"/>
    <w:rsid w:val="00260254"/>
    <w:rsid w:val="00267846"/>
    <w:rsid w:val="002B0874"/>
    <w:rsid w:val="00305851"/>
    <w:rsid w:val="0031237E"/>
    <w:rsid w:val="00312473"/>
    <w:rsid w:val="00320AA8"/>
    <w:rsid w:val="003342EC"/>
    <w:rsid w:val="0035141E"/>
    <w:rsid w:val="003905F7"/>
    <w:rsid w:val="00396737"/>
    <w:rsid w:val="003A49EA"/>
    <w:rsid w:val="003B1872"/>
    <w:rsid w:val="003C1FAB"/>
    <w:rsid w:val="003D5A68"/>
    <w:rsid w:val="003D7AAA"/>
    <w:rsid w:val="003F285B"/>
    <w:rsid w:val="0040455B"/>
    <w:rsid w:val="00411A95"/>
    <w:rsid w:val="00465BD6"/>
    <w:rsid w:val="00491241"/>
    <w:rsid w:val="004B765F"/>
    <w:rsid w:val="004E276A"/>
    <w:rsid w:val="004F3039"/>
    <w:rsid w:val="005425E1"/>
    <w:rsid w:val="005B4E9E"/>
    <w:rsid w:val="005C75E5"/>
    <w:rsid w:val="005D48EE"/>
    <w:rsid w:val="005F3174"/>
    <w:rsid w:val="005F3930"/>
    <w:rsid w:val="006048FC"/>
    <w:rsid w:val="00636B66"/>
    <w:rsid w:val="00655984"/>
    <w:rsid w:val="006F5BCE"/>
    <w:rsid w:val="00732F5C"/>
    <w:rsid w:val="00733BC1"/>
    <w:rsid w:val="007347F9"/>
    <w:rsid w:val="00771792"/>
    <w:rsid w:val="007C7346"/>
    <w:rsid w:val="007C7525"/>
    <w:rsid w:val="007D0545"/>
    <w:rsid w:val="0081509E"/>
    <w:rsid w:val="00890FC6"/>
    <w:rsid w:val="008A6C94"/>
    <w:rsid w:val="008C204A"/>
    <w:rsid w:val="008C77C8"/>
    <w:rsid w:val="008F144A"/>
    <w:rsid w:val="00901E70"/>
    <w:rsid w:val="009210FD"/>
    <w:rsid w:val="00932120"/>
    <w:rsid w:val="00961BB7"/>
    <w:rsid w:val="00983B78"/>
    <w:rsid w:val="009B052D"/>
    <w:rsid w:val="009E751C"/>
    <w:rsid w:val="00A039CD"/>
    <w:rsid w:val="00A86AE2"/>
    <w:rsid w:val="00B22A94"/>
    <w:rsid w:val="00B552D9"/>
    <w:rsid w:val="00BF5386"/>
    <w:rsid w:val="00C05CF6"/>
    <w:rsid w:val="00CF67DB"/>
    <w:rsid w:val="00D23812"/>
    <w:rsid w:val="00D50F21"/>
    <w:rsid w:val="00D56A38"/>
    <w:rsid w:val="00D57248"/>
    <w:rsid w:val="00D819D1"/>
    <w:rsid w:val="00D831A3"/>
    <w:rsid w:val="00D90103"/>
    <w:rsid w:val="00DA63A9"/>
    <w:rsid w:val="00DF5E82"/>
    <w:rsid w:val="00E324F1"/>
    <w:rsid w:val="00E41E36"/>
    <w:rsid w:val="00EC6227"/>
    <w:rsid w:val="00F55C8E"/>
    <w:rsid w:val="00F77F32"/>
    <w:rsid w:val="00FC0A83"/>
    <w:rsid w:val="00FC25A1"/>
    <w:rsid w:val="00FD7F42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User1</cp:lastModifiedBy>
  <cp:revision>4</cp:revision>
  <cp:lastPrinted>2020-12-18T01:10:00Z</cp:lastPrinted>
  <dcterms:created xsi:type="dcterms:W3CDTF">2021-11-25T01:49:00Z</dcterms:created>
  <dcterms:modified xsi:type="dcterms:W3CDTF">2021-12-17T01:14:00Z</dcterms:modified>
</cp:coreProperties>
</file>