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D9" w:rsidRDefault="003E5E9D" w:rsidP="003E5E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 К ПРОГНОЗУ СОЦИАЛЬНО-ЭКОНОМИЧЕСКОГО РАЗВИТИЯ МУНИЦИПАЛЬНОГО ОБРАЗОВАННИЯ СЕЛЬСКОЕ ПОСЛЕНИЕ «ИВОЛГИНСКОЕ»</w:t>
      </w:r>
    </w:p>
    <w:p w:rsidR="006B2928" w:rsidRDefault="006B2928" w:rsidP="006B2928">
      <w:pPr>
        <w:pStyle w:val="a7"/>
        <w:shd w:val="clear" w:color="auto" w:fill="FDFDFD"/>
        <w:spacing w:before="0" w:beforeAutospacing="0" w:after="435" w:afterAutospacing="0"/>
        <w:ind w:firstLine="567"/>
        <w:jc w:val="both"/>
        <w:textAlignment w:val="baseline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Прогноз социально-экономического развития Российской Федерации на 2023 год и на плановый период 2024 и 2025 годов разрабатывается в условиях нарастающего </w:t>
      </w:r>
      <w:proofErr w:type="spellStart"/>
      <w:r>
        <w:rPr>
          <w:color w:val="222222"/>
          <w:sz w:val="30"/>
          <w:szCs w:val="30"/>
        </w:rPr>
        <w:t>санкционного</w:t>
      </w:r>
      <w:proofErr w:type="spellEnd"/>
      <w:r>
        <w:rPr>
          <w:color w:val="222222"/>
          <w:sz w:val="30"/>
          <w:szCs w:val="30"/>
        </w:rPr>
        <w:t xml:space="preserve"> давления вследствие введения торговых, технологических и финансовых ограничений со стороны ряда государств. Ключевые изменения в течение прогнозного периода коснутся отраслевой структуры экономики, технологий, логистических маршрутов, производственных связей, рынков сбыта, объемов производства, ценообразования, подходов к распределению рабочей силы. Эти изменения, в какой-то степени коснутся и социально-экономического развития муниципального образования сельское поселение «Иволгинское».</w:t>
      </w:r>
    </w:p>
    <w:p w:rsidR="006B2928" w:rsidRDefault="006B2928" w:rsidP="006B2928">
      <w:pPr>
        <w:pStyle w:val="a7"/>
        <w:shd w:val="clear" w:color="auto" w:fill="FDFDFD"/>
        <w:spacing w:before="0" w:beforeAutospacing="0" w:after="435" w:afterAutospacing="0"/>
        <w:ind w:firstLine="567"/>
        <w:jc w:val="both"/>
        <w:textAlignment w:val="baseline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В рекомендациях Совета Федерации Федерального Собрания РФ Правительству РФ  </w:t>
      </w:r>
      <w:r w:rsidR="0031322F">
        <w:rPr>
          <w:color w:val="222222"/>
          <w:sz w:val="30"/>
          <w:szCs w:val="30"/>
        </w:rPr>
        <w:t>особое внимание уделяется развитию транспортной, энергетической инфраструктуры Дальневосточного округа, в состав которого входит наша Республика Бурятия. В план на 2023 по 2025 года ускорить выполнение мероприятий по строительству Восточного полигона, обеспечив приоритетное завершение строительства и введение в эксплуатацию объектов инфраструктуры, предусмотренных инвестиционным проектом «Модернизация железнодорожной инфраструктуры Байкало-Амурской и Транссибирской железнодорожных магистралей с развитием пропускных и провозных способностей», и ликвидацию участков с ограниченной пропускной способностью на </w:t>
      </w:r>
      <w:proofErr w:type="spellStart"/>
      <w:r w:rsidR="0031322F">
        <w:rPr>
          <w:color w:val="222222"/>
          <w:sz w:val="30"/>
          <w:szCs w:val="30"/>
        </w:rPr>
        <w:t>грузонапряженных</w:t>
      </w:r>
      <w:proofErr w:type="spellEnd"/>
      <w:r w:rsidR="0031322F">
        <w:rPr>
          <w:color w:val="222222"/>
          <w:sz w:val="30"/>
          <w:szCs w:val="30"/>
        </w:rPr>
        <w:t xml:space="preserve"> участках железных дорог</w:t>
      </w:r>
      <w:r w:rsidR="000B1449">
        <w:rPr>
          <w:color w:val="222222"/>
          <w:sz w:val="30"/>
          <w:szCs w:val="30"/>
        </w:rPr>
        <w:t xml:space="preserve">. </w:t>
      </w:r>
    </w:p>
    <w:p w:rsidR="00754CD9" w:rsidRDefault="000B1449" w:rsidP="006B2928">
      <w:pPr>
        <w:pStyle w:val="a7"/>
        <w:shd w:val="clear" w:color="auto" w:fill="FDFDFD"/>
        <w:spacing w:before="0" w:beforeAutospacing="0" w:after="435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Входя в состав </w:t>
      </w:r>
      <w:proofErr w:type="gramStart"/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Бурятия и находясь вблизи столицы изменения будут касаться нашего поселения. </w:t>
      </w:r>
      <w:r w:rsidR="00754CD9">
        <w:rPr>
          <w:sz w:val="28"/>
          <w:szCs w:val="28"/>
        </w:rPr>
        <w:t>Муниципальное образование сельское поселение «И</w:t>
      </w:r>
      <w:r>
        <w:rPr>
          <w:sz w:val="28"/>
          <w:szCs w:val="28"/>
        </w:rPr>
        <w:t>волгинское» расположено в 30 км</w:t>
      </w:r>
      <w:proofErr w:type="gramStart"/>
      <w:r>
        <w:rPr>
          <w:sz w:val="28"/>
          <w:szCs w:val="28"/>
        </w:rPr>
        <w:t>.</w:t>
      </w:r>
      <w:proofErr w:type="gramEnd"/>
      <w:r w:rsidR="00754CD9">
        <w:rPr>
          <w:sz w:val="28"/>
          <w:szCs w:val="28"/>
        </w:rPr>
        <w:t xml:space="preserve"> </w:t>
      </w:r>
      <w:proofErr w:type="gramStart"/>
      <w:r w:rsidR="00754CD9">
        <w:rPr>
          <w:sz w:val="28"/>
          <w:szCs w:val="28"/>
        </w:rPr>
        <w:t>о</w:t>
      </w:r>
      <w:proofErr w:type="gramEnd"/>
      <w:r w:rsidR="00754CD9">
        <w:rPr>
          <w:sz w:val="28"/>
          <w:szCs w:val="28"/>
        </w:rPr>
        <w:t xml:space="preserve">т столицы Республики Бурятия </w:t>
      </w:r>
      <w:r w:rsidR="006B2928">
        <w:rPr>
          <w:sz w:val="28"/>
          <w:szCs w:val="28"/>
        </w:rPr>
        <w:t xml:space="preserve">города </w:t>
      </w:r>
      <w:r w:rsidR="00754CD9">
        <w:rPr>
          <w:sz w:val="28"/>
          <w:szCs w:val="28"/>
        </w:rPr>
        <w:t xml:space="preserve">Улан-Удэ. В состав муниципального образования входит 8 населенных пунктов, в </w:t>
      </w:r>
      <w:proofErr w:type="spellStart"/>
      <w:r w:rsidR="00754CD9">
        <w:rPr>
          <w:sz w:val="28"/>
          <w:szCs w:val="28"/>
        </w:rPr>
        <w:t>т.ч</w:t>
      </w:r>
      <w:proofErr w:type="spellEnd"/>
      <w:r w:rsidR="00754CD9">
        <w:rPr>
          <w:sz w:val="28"/>
          <w:szCs w:val="28"/>
        </w:rPr>
        <w:t>. районный центр Иволгинск. Численность населения составляет 12104 человека.</w:t>
      </w:r>
      <w:r w:rsidR="0031322F">
        <w:rPr>
          <w:sz w:val="28"/>
          <w:szCs w:val="28"/>
        </w:rPr>
        <w:t xml:space="preserve"> </w:t>
      </w:r>
    </w:p>
    <w:p w:rsidR="00754CD9" w:rsidRPr="00754CD9" w:rsidRDefault="00754CD9" w:rsidP="0075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Характерная черта климата на территории поселения – резкая </w:t>
      </w:r>
      <w:proofErr w:type="spellStart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континентальность</w:t>
      </w:r>
      <w:proofErr w:type="spellEnd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Зима умеренно-суровая, в долинах малоснежная. Снежный покров незначительный, всего 5 – </w:t>
      </w:r>
      <w:smartTag w:uri="urn:schemas-microsoft-com:office:smarttags" w:element="metricconverter">
        <w:smartTagPr>
          <w:attr w:name="ProductID" w:val="10 см"/>
        </w:smartTagPr>
        <w:r w:rsidRPr="0075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Низкие зимние температуры, небольшой снежный покров способствуют глубокому промерзанию почв. Сильные ветра весной, низкая влажность воздуха, </w:t>
      </w: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способствуют </w:t>
      </w:r>
      <w:proofErr w:type="spellStart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подсыханию</w:t>
      </w:r>
      <w:proofErr w:type="spellEnd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почвы, развитию ветровой эрозии на полях хозяйств. Лето короткое, жаркое.</w:t>
      </w:r>
    </w:p>
    <w:p w:rsidR="00754CD9" w:rsidRPr="00754CD9" w:rsidRDefault="00754CD9" w:rsidP="0075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поселения составляет 82,1 тыс. га, в том числе в ведении поселения находится 0,47 тыс. га. Площадь земли, предоставленная физическим лицам во владение и пользование, составляет 0,16 тыс. га; предоставленная юридическим лицам во владение и пользование 75,8 тыс. га.</w:t>
      </w:r>
    </w:p>
    <w:p w:rsidR="00754CD9" w:rsidRDefault="00754CD9" w:rsidP="00754CD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 поселению переданы сельскохозяйственные земли бывшего ОПХ «Иволгинское», около 10 тыс. гектаров. В течение </w:t>
      </w:r>
      <w:r w:rsidR="00FE65B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часть земель передана ИП, КФХ для ведения сельского хозяйства.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довольно продолжительная около 6 месяцев, холодная, малоснежная, средняя минимальная температура воздуха зимой – С</w:t>
      </w:r>
      <w:proofErr w:type="gramStart"/>
      <w:r w:rsidRPr="00754C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End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летом выше С</w:t>
      </w:r>
      <w:r w:rsidRPr="00754C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тепла. Средне многолетнее количество осадков за год не превышает </w:t>
      </w:r>
      <w:smartTag w:uri="urn:schemas-microsoft-com:office:smarttags" w:element="metricconverter">
        <w:smartTagPr>
          <w:attr w:name="ProductID" w:val="349 мм"/>
        </w:smartTagPr>
        <w:r w:rsidRPr="0075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349 мм</w:t>
        </w:r>
      </w:smartTag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Зимние осадки составляют не более 10 % от годового количества, что определяется малой мощностью снежного покрова, высота которого колеблется от 1до </w:t>
      </w:r>
      <w:smartTag w:uri="urn:schemas-microsoft-com:office:smarttags" w:element="metricconverter">
        <w:smartTagPr>
          <w:attr w:name="ProductID" w:val="13 см"/>
        </w:smartTagPr>
        <w:r w:rsidRPr="0075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см</w:t>
        </w:r>
      </w:smartTag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высота снежного покрова способствует глубокому промерзанию почвы до 3-х метров. Поздние весенние заморозки удерживаются до конца мая, а иногда до 1 декады июня, продолжительность безморозного периода в среднем составляет в среднем 120 дней.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преобладают песчаные и тёмно – каштановые почвы.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достаточном внесение удобрений в почву, нормальном орошении есть возможность выращивать любые виды культур, повысить урожайность. Имеющаяся система орошения в настоящее время пришла в негодность.</w:t>
      </w:r>
    </w:p>
    <w:p w:rsid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Уникальные природные и археологические памятники, обширные охотничьи угодья, позволяют развивать познавательный, экологический и спортивный туризм и создают великолепные условия для оздоровления и отдыха.</w:t>
      </w:r>
    </w:p>
    <w:p w:rsidR="009E6B1A" w:rsidRDefault="009E6B1A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1A" w:rsidRDefault="009E6B1A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 товаропроизводители получили земли, поэтому с 2022 года ожидается развитие животноводства и растениеводства. </w:t>
      </w:r>
      <w:r w:rsidR="00E1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расположение будет способствовать развитию овощеводства.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B1A" w:rsidRDefault="009E6B1A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начато строительство школы на 450 мест в начале села Иволгинск, в 2022 году строительство будет продолжено. </w:t>
      </w:r>
      <w:r w:rsidR="00E1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ожидается строительство детского сада. Одним из важных вопросов является строительство стационара больницы. В 2021 году было принято решение строить его возле существующей поликлиники на 250 койко-мест. </w:t>
      </w:r>
    </w:p>
    <w:p w:rsidR="00E13549" w:rsidRDefault="00E1354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многочисленным просьбам СНТ «ОПХ» состоящих из бывш</w:t>
      </w:r>
      <w:r w:rsidR="00D8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работников ОПХ «Иволгинское»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выделили землю в сторону Иволгинского дацана.</w:t>
      </w:r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СНТ установили ТП для энергообеспечения земельных участков. Было предоставлено 148 земельных участков бывшим работникам ОПХ.</w:t>
      </w:r>
    </w:p>
    <w:p w:rsidR="00CB17F0" w:rsidRDefault="00494E2F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закрытие Иволгинского БТАТ, хотя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</w:t>
      </w:r>
      <w:proofErr w:type="gramEnd"/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  <w:proofErr w:type="gramEnd"/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работа по сбору подписей в поддержку нашего техникума, чтобы его оставили.</w:t>
      </w:r>
    </w:p>
    <w:p w:rsidR="00D85B9B" w:rsidRDefault="00CB17F0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реализации национального проекта «Комфортная городская среда» сделано очень много, на 202</w:t>
      </w:r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планируется устройство </w:t>
      </w:r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площадки в селе </w:t>
      </w:r>
      <w:proofErr w:type="spellStart"/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устройства детской игровой площадки с искусственным покрытием в квартале </w:t>
      </w:r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Иволгинск.</w:t>
      </w:r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7F0" w:rsidRDefault="00CB17F0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«Комплексное развитие сельских территорий Республики Бурятия» администрацией совместно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Красноярово подготовлена заявка на грант по устройству универсальной спортивной площадки с искусственным покрытием на 2 млн. рублей. </w:t>
      </w:r>
    </w:p>
    <w:p w:rsidR="00494E2F" w:rsidRDefault="00494E2F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2021-2022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территориальные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участвовать в Республиканском конкурсе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ТОС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ТОС ежегодно принимают участие в конкурсе, за счет выигранных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 детские площадки, ремонтируют уличные тренажеры, проводят разные мероприятия для детей. </w:t>
      </w:r>
      <w:r w:rsidR="004A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Премиальные средства являются большим подспорьем для ТОС и села.  </w:t>
      </w:r>
    </w:p>
    <w:p w:rsidR="00DE58B0" w:rsidRDefault="00DE58B0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налаживания работы по сбору ТКО и своевременной оплаты в администрации поселения предоставлено рабочее место 1 специалист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Экоальянс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38B2" w:rsidRDefault="004A38B2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тесно сотрудничает сов семи учреждениями и организациями по проблемам бродячих собак, по вольному выгулу сельскохозяйственных животных. Будет продолжена работа по наполняемости новой информационной системы РЕГ-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книга). Кроме, того </w:t>
      </w:r>
      <w:r w:rsidR="00A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работа по информационной системе ГОС-ВЕБ.</w:t>
      </w:r>
    </w:p>
    <w:p w:rsidR="00A02644" w:rsidRDefault="00A02644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меняется версия в СМЭВ, она усложняется для специалистов сельского поселения.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 только на электронный документооборот, если со второй стороны будут органы местного самоуправления, то документы на сделку будут отправлять специалисты сельского поселения. Это повышает требования к квалификации специалистов, к </w:t>
      </w:r>
      <w:r w:rsidR="0041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138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мощности компьютеров.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A38B2" w:rsidRDefault="004A38B2" w:rsidP="00A0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8B2" w:rsidRDefault="004A38B2" w:rsidP="00A0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8B2" w:rsidRDefault="004A38B2" w:rsidP="00A0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8B2" w:rsidRDefault="004A38B2" w:rsidP="00A0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DBF" w:rsidRPr="00A07DBF" w:rsidRDefault="00A07DBF" w:rsidP="00A0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A07DBF" w:rsidRPr="00A0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710E"/>
    <w:multiLevelType w:val="hybridMultilevel"/>
    <w:tmpl w:val="81DA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74"/>
    <w:rsid w:val="000258A6"/>
    <w:rsid w:val="00044333"/>
    <w:rsid w:val="000B1449"/>
    <w:rsid w:val="001F3B74"/>
    <w:rsid w:val="00212B7B"/>
    <w:rsid w:val="002D5ECE"/>
    <w:rsid w:val="0031322F"/>
    <w:rsid w:val="003E5E9D"/>
    <w:rsid w:val="00413872"/>
    <w:rsid w:val="004862E2"/>
    <w:rsid w:val="00494E2F"/>
    <w:rsid w:val="004A38B2"/>
    <w:rsid w:val="00543244"/>
    <w:rsid w:val="006B2928"/>
    <w:rsid w:val="00754CD9"/>
    <w:rsid w:val="007C7F76"/>
    <w:rsid w:val="007E222E"/>
    <w:rsid w:val="008B10AD"/>
    <w:rsid w:val="009E6B1A"/>
    <w:rsid w:val="00A02644"/>
    <w:rsid w:val="00A07DBF"/>
    <w:rsid w:val="00CB17F0"/>
    <w:rsid w:val="00D85B9B"/>
    <w:rsid w:val="00D873DA"/>
    <w:rsid w:val="00DE58B0"/>
    <w:rsid w:val="00E13549"/>
    <w:rsid w:val="00EB2871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44"/>
    <w:pPr>
      <w:ind w:left="720"/>
      <w:contextualSpacing/>
    </w:pPr>
  </w:style>
  <w:style w:type="table" w:styleId="a4">
    <w:name w:val="Table Grid"/>
    <w:basedOn w:val="a1"/>
    <w:uiPriority w:val="59"/>
    <w:rsid w:val="0054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B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44"/>
    <w:pPr>
      <w:ind w:left="720"/>
      <w:contextualSpacing/>
    </w:pPr>
  </w:style>
  <w:style w:type="table" w:styleId="a4">
    <w:name w:val="Table Grid"/>
    <w:basedOn w:val="a1"/>
    <w:uiPriority w:val="59"/>
    <w:rsid w:val="0054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B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2022-12-26T00:47:00Z</cp:lastPrinted>
  <dcterms:created xsi:type="dcterms:W3CDTF">2022-12-26T00:49:00Z</dcterms:created>
  <dcterms:modified xsi:type="dcterms:W3CDTF">2022-12-26T00:49:00Z</dcterms:modified>
</cp:coreProperties>
</file>